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13" w:name="_GoBack"/>
      <w:bookmarkEnd w:id="13"/>
      <w:r>
        <w:rPr>
          <w:rFonts w:hint="eastAsia"/>
          <w:b/>
          <w:bCs/>
          <w:sz w:val="36"/>
          <w:szCs w:val="36"/>
        </w:rPr>
        <w:t>高频电发生装置技术参数</w:t>
      </w:r>
    </w:p>
    <w:p>
      <w:pPr>
        <w:spacing w:line="360" w:lineRule="auto"/>
      </w:pPr>
      <w:r>
        <w:rPr>
          <w:rFonts w:hint="eastAsia"/>
        </w:rPr>
        <w:t>1. 与电切镜同品牌高频电刀主机；</w:t>
      </w:r>
    </w:p>
    <w:p>
      <w:pPr>
        <w:spacing w:line="360" w:lineRule="auto"/>
      </w:pPr>
      <w:r>
        <w:rPr>
          <w:rFonts w:hint="eastAsia"/>
        </w:rPr>
        <w:t>2． 具备生理盐水功能和高频电刀功能，满足所有基础电外科手术用电，能够进行普通电切（TURP）、汽化电切（TUVP）、生理盐水电切和普通外科手术的高频用电。扩大了手术应用范围，满足了不同医生的手术习惯。</w:t>
      </w:r>
    </w:p>
    <w:p>
      <w:pPr>
        <w:spacing w:line="360" w:lineRule="auto"/>
      </w:pPr>
      <w:r>
        <w:rPr>
          <w:rFonts w:hint="eastAsia"/>
        </w:rPr>
        <w:t>3． 输出模式至少包含：生理盐水模式、单极模式、URO模式、双极模式；</w:t>
      </w:r>
    </w:p>
    <w:p>
      <w:pPr>
        <w:spacing w:line="360" w:lineRule="auto"/>
      </w:pPr>
      <w:r>
        <w:rPr>
          <w:rFonts w:hint="eastAsia"/>
        </w:rPr>
        <w:t>4． 输出功率：生理盐水模式最大不小于320W；</w:t>
      </w:r>
    </w:p>
    <w:p>
      <w:pPr>
        <w:spacing w:line="360" w:lineRule="auto"/>
      </w:pPr>
      <w:r>
        <w:rPr>
          <w:rFonts w:hint="eastAsia"/>
        </w:rPr>
        <w:t xml:space="preserve">               单极模式最大不小于300W；</w:t>
      </w:r>
    </w:p>
    <w:p>
      <w:pPr>
        <w:spacing w:line="360" w:lineRule="auto"/>
      </w:pPr>
      <w:r>
        <w:rPr>
          <w:rFonts w:hint="eastAsia"/>
        </w:rPr>
        <w:t xml:space="preserve">               双极模式最大不小于90W；</w:t>
      </w:r>
    </w:p>
    <w:p>
      <w:pPr>
        <w:spacing w:line="360" w:lineRule="auto"/>
      </w:pPr>
      <w:r>
        <w:rPr>
          <w:rFonts w:hint="eastAsia"/>
        </w:rPr>
        <w:t>5. 基础频率至少包含：350Hz/1MHz；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▲</w:t>
      </w:r>
      <w:r>
        <w:rPr>
          <w:rFonts w:hint="eastAsia"/>
        </w:rPr>
        <w:t>6. 连接同品牌气腹机进行腹腔镜手术时具有自动排烟雾功能；</w:t>
      </w:r>
    </w:p>
    <w:p>
      <w:pPr>
        <w:spacing w:line="360" w:lineRule="auto"/>
      </w:pPr>
      <w:r>
        <w:rPr>
          <w:rFonts w:hint="eastAsia"/>
        </w:rPr>
        <w:t>7.对切割·凝固搭载了16种模式（单极·双极）模式</w:t>
      </w:r>
    </w:p>
    <w:p>
      <w:pPr>
        <w:spacing w:line="360" w:lineRule="auto"/>
      </w:pPr>
      <w:r>
        <w:rPr>
          <w:rFonts w:hint="eastAsia"/>
        </w:rPr>
        <w:t>8.5种切割模式（单纯切割、双极切割、脉冲慢切、电解质溶液切割、脉冲快切）能够在开始切割时即向组织高频输出，以支持其瞬间放电，减轻其机械性切除的风险。</w:t>
      </w:r>
    </w:p>
    <w:p>
      <w:pPr>
        <w:spacing w:line="360" w:lineRule="auto"/>
      </w:pPr>
      <w:r>
        <w:rPr>
          <w:rFonts w:hint="eastAsia"/>
        </w:rPr>
        <w:t>9. 快速放电技术，对应于各种内窥镜治疗，以必须的最低输出功率实现稳定切割。</w:t>
      </w:r>
    </w:p>
    <w:p>
      <w:pPr>
        <w:spacing w:line="360" w:lineRule="auto"/>
      </w:pPr>
      <w:r>
        <w:rPr>
          <w:rFonts w:hint="eastAsia"/>
        </w:rPr>
        <w:t>10. 输出接口：一个等离子接口、一个双极接口、两个单极接口、一个通用接口、一个负极板接口；</w:t>
      </w:r>
    </w:p>
    <w:p>
      <w:pPr>
        <w:spacing w:line="360" w:lineRule="auto"/>
      </w:pPr>
      <w:r>
        <w:rPr>
          <w:rFonts w:hint="eastAsia"/>
        </w:rPr>
        <w:t>11. 单极接口兼容Valleylab标准单插头、BOVIE标准单插头、Banana标准单插头、ERBE标准单插头</w:t>
      </w:r>
    </w:p>
    <w:p>
      <w:pPr>
        <w:spacing w:line="360" w:lineRule="auto"/>
      </w:pPr>
      <w:r>
        <w:rPr>
          <w:rFonts w:hint="eastAsia"/>
        </w:rPr>
        <w:t>12. 双击接口兼容Valleylab标准双极插头 ERBE标准双极插头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▲</w:t>
      </w:r>
      <w:r>
        <w:rPr>
          <w:rFonts w:hint="eastAsia"/>
        </w:rPr>
        <w:t>13.高功率切割支持，以高功率输出直至检出放电为止，无初期延迟的顺利切割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▲</w:t>
      </w:r>
      <w:r>
        <w:rPr>
          <w:rFonts w:hint="eastAsia"/>
        </w:rPr>
        <w:t>14.快速火花监测，在切割时将放电调整至必须的最低限度，少见碳化、烟雾的顺利切割。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等离子电切镜及附件技术参数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1．4mm  12度光学视管，可高温高压灭菌；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2．26Fr持续灌流可旋转外管鞘，椭圆型设计满足了最大的灌流量；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3．24Fr内管鞘；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4．被动式工作手件；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5．3mm插头式导光束，高温高压灭菌；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6．兼容传统单极电切功能（只需更换单极工作手件，另配）。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7．TURis电切镜手件同时可兼容12度和30度电切镜。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sz w:val="24"/>
          <w:szCs w:val="28"/>
        </w:rPr>
        <w:t>8</w:t>
      </w:r>
      <w:r>
        <w:rPr>
          <w:rFonts w:hint="eastAsia"/>
          <w:sz w:val="24"/>
          <w:szCs w:val="28"/>
        </w:rPr>
        <w:t>．电切单环设计，电切过程中工作区域在视野范围内，有效避免正负极分开回路导致的误损伤。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膀胱镜技术参数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1、4mm 30°、4mm 70°光学视管各一根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2、19.8Fr膀胱镜管鞘，带鞘唇，持续灌流式；                       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3、22.5Fr膀胱镜管鞘，带鞘唇，持续管流式；                      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4、连接桥，单管道；                                         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 xml:space="preserve">5、工作插入部，带自锁式抬起台，双管道，具有器械自动锁定功能                                                          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6、磨砂表面设计，减少与组织的摩擦；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7、全套可高温高压灭菌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8、配合同品牌高清摄像主机，可实现NBI窄波光成像功能。</w:t>
      </w:r>
    </w:p>
    <w:p>
      <w:pPr>
        <w:rPr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输尿管镜技术参数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1、视野方向7度，带斜形接目镜，改善器械可视性；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2、先端部外径≤8.6Fr；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3、插入部外径≤9.8Fr；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4、钳子管道内径≥6.4Fr；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5、总长度≥430mm；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6、导像纤维数≥50000，无颗粒感。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7、视场角≥81°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8、照度≥1500lx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▲9</w:t>
      </w:r>
      <w:r>
        <w:rPr>
          <w:rFonts w:hint="eastAsia"/>
          <w:sz w:val="24"/>
          <w:szCs w:val="28"/>
        </w:rPr>
        <w:t>、有效景深范围至少包含3-50mm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10、镜体使用高耐用性防化学腐蚀不锈钢制造，耐受长期高温高压灭菌；</w:t>
      </w:r>
    </w:p>
    <w:p>
      <w:pPr>
        <w:rPr>
          <w:sz w:val="20"/>
        </w:rPr>
      </w:pPr>
    </w:p>
    <w:p>
      <w:pPr>
        <w:rPr>
          <w:sz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高清摄像头（含导光束）技术参数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rFonts w:hint="eastAsia"/>
          <w:sz w:val="24"/>
          <w:szCs w:val="28"/>
        </w:rPr>
        <w:t>1、L型HD高清小腔体摄像头，放大倍率0.8倍。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、摄像头重量不大于100g，确保良好的操作性。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、至少3个或以上自定义按钮，更加便于操作</w:t>
      </w:r>
    </w:p>
    <w:p>
      <w:pPr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▲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、支持NBI窄带成像技术，便于泌尿肿瘤检查</w:t>
      </w:r>
    </w:p>
    <w:p>
      <w:pPr>
        <w:rPr>
          <w:sz w:val="20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腔镜灌注泵技术参数</w:t>
      </w:r>
    </w:p>
    <w:p>
      <w:pPr>
        <w:jc w:val="center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压力设定范围: 20mmHg～400mmHg（2～53.3Kpa）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压力调节步长：1mmHg（0.1Kpa）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流量设定范围: 0.1～1.0L/min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流量调节步长：0.1 L/min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设备安全分类型: 1类B型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电源: 交流220V ±10％； 50Hz ±1Hz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额定功率: 100W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噪声: ≤50dB(A)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运行方式: 连续运行，持续液体灌注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设有压力值切换按键，根据医生使用习惯，可在Kpa和mmHg之间切换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根据压力和流量设定值的不同，可分别适用于泌尿科（输尿管镜、经皮肾镜）、妇科（宫腔镜）、骨科（关节镜）等手术。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骨科手术床技术参数</w:t>
      </w:r>
    </w:p>
    <w:p/>
    <w:p>
      <w:pPr>
        <w:spacing w:line="276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一、电动液压综合手术床技术要求</w:t>
      </w:r>
      <w:bookmarkStart w:id="0" w:name="OLE_LINK1"/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0"/>
        </w:rPr>
        <w:t>手术床为电动液压驱动机制</w:t>
      </w:r>
      <w:bookmarkStart w:id="1" w:name="OLE_LINK2"/>
      <w:bookmarkStart w:id="2" w:name="OLE_LINK3"/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0"/>
        </w:rPr>
        <w:t>电动调节床面升降、前后倾、左右倾、背板升降、刹车5个主要动作组，</w:t>
      </w:r>
      <w:r>
        <w:rPr>
          <w:rFonts w:hint="eastAsia" w:ascii="宋体" w:hAnsi="宋体"/>
          <w:color w:val="000000"/>
          <w:szCs w:val="21"/>
        </w:rPr>
        <w:t>由5组（不少于7个）独立液压缸液压驱动</w:t>
      </w:r>
      <w:bookmarkEnd w:id="1"/>
      <w:bookmarkEnd w:id="2"/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  <w:szCs w:val="20"/>
        </w:rPr>
        <w:t>手术床配备高性能充电电池，可满足≥50次手术需要，确保手术床在无交流电源供电状态下工作。充电电池无需保养和维护,可长时间使用。同时具有交流电源供电功能，确保最大的安全性。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  <w:szCs w:val="20"/>
        </w:rPr>
        <w:t>具有手持有线控制器和立柱应急控制面板两套功能一致、且相互独立的控制系统。确保手术床在一套控制系统发生故障时，另一套仍能可靠运行。</w:t>
      </w:r>
      <w:bookmarkEnd w:id="0"/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  <w:szCs w:val="20"/>
        </w:rPr>
        <w:t>手术床承重≥230kg。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0"/>
        </w:rPr>
        <w:t>手术床台面框架（含</w:t>
      </w:r>
      <w:r>
        <w:rPr>
          <w:rFonts w:ascii="宋体" w:hAnsi="宋体"/>
          <w:color w:val="000000"/>
          <w:szCs w:val="20"/>
        </w:rPr>
        <w:t>侧轨）</w:t>
      </w:r>
      <w:r>
        <w:rPr>
          <w:rFonts w:hint="eastAsia" w:ascii="宋体" w:hAnsi="宋体"/>
          <w:color w:val="000000"/>
          <w:szCs w:val="20"/>
        </w:rPr>
        <w:t>和立柱护罩采用优质不锈钢件制成，非铝合金</w:t>
      </w:r>
      <w:r>
        <w:rPr>
          <w:rFonts w:ascii="宋体" w:hAnsi="宋体"/>
          <w:color w:val="000000"/>
          <w:szCs w:val="20"/>
        </w:rPr>
        <w:t>或展性铸铁外包覆</w:t>
      </w:r>
      <w:r>
        <w:rPr>
          <w:rFonts w:hint="eastAsia" w:ascii="宋体" w:hAnsi="宋体"/>
          <w:color w:val="000000"/>
          <w:szCs w:val="20"/>
        </w:rPr>
        <w:t>一层</w:t>
      </w:r>
      <w:r>
        <w:rPr>
          <w:rFonts w:ascii="宋体" w:hAnsi="宋体"/>
          <w:color w:val="000000"/>
          <w:szCs w:val="20"/>
        </w:rPr>
        <w:t>不锈钢制成，</w:t>
      </w:r>
      <w:r>
        <w:rPr>
          <w:rFonts w:hint="eastAsia" w:ascii="宋体" w:hAnsi="宋体"/>
          <w:color w:val="000000"/>
          <w:szCs w:val="20"/>
        </w:rPr>
        <w:t>基座外壳采用玻璃钢制成，抗撞击，耐腐蚀，耐消毒，永不生锈，坚固耐用。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0"/>
        </w:rPr>
        <w:t>手术床台面可透过X线，台面下侧安装有导轨，用于输送X光片盒 。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bookmarkStart w:id="3" w:name="OLE_LINK4"/>
      <w:bookmarkStart w:id="4" w:name="OLE_LINK5"/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有效预防</w:t>
      </w:r>
      <w:r>
        <w:rPr>
          <w:rFonts w:hint="eastAsia" w:ascii="宋体" w:hAnsi="宋体"/>
          <w:color w:val="000000"/>
          <w:szCs w:val="21"/>
        </w:rPr>
        <w:t>病人压疮</w:t>
      </w:r>
      <w:r>
        <w:rPr>
          <w:rFonts w:ascii="宋体" w:hAnsi="宋体"/>
          <w:color w:val="000000"/>
          <w:szCs w:val="21"/>
        </w:rPr>
        <w:t>现象，</w:t>
      </w:r>
      <w:r>
        <w:rPr>
          <w:rFonts w:hint="eastAsia" w:ascii="宋体" w:hAnsi="宋体"/>
          <w:color w:val="000000"/>
        </w:rPr>
        <w:t>手术床须</w:t>
      </w:r>
      <w:r>
        <w:rPr>
          <w:rFonts w:ascii="宋体" w:hAnsi="宋体"/>
          <w:color w:val="000000"/>
        </w:rPr>
        <w:t>选用</w:t>
      </w:r>
      <w:r>
        <w:rPr>
          <w:rFonts w:hint="eastAsia" w:ascii="宋体" w:hAnsi="宋体"/>
          <w:color w:val="000000"/>
        </w:rPr>
        <w:t>质地柔软的记忆海绵整体</w:t>
      </w:r>
      <w:bookmarkEnd w:id="3"/>
      <w:bookmarkEnd w:id="4"/>
      <w:r>
        <w:rPr>
          <w:rFonts w:hint="eastAsia" w:ascii="宋体" w:hAnsi="宋体"/>
          <w:color w:val="000000"/>
        </w:rPr>
        <w:t>床垫，厚度≥75</w:t>
      </w:r>
      <w:r>
        <w:rPr>
          <w:rFonts w:ascii="宋体" w:hAnsi="宋体"/>
          <w:color w:val="000000"/>
        </w:rPr>
        <w:t>mm</w:t>
      </w:r>
      <w:r>
        <w:rPr>
          <w:rFonts w:hint="eastAsia" w:ascii="宋体" w:hAnsi="宋体"/>
          <w:color w:val="000000"/>
        </w:rPr>
        <w:t>。床垫表面无缝隙，防水透气易清洗，防静电。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bookmarkStart w:id="5" w:name="OLE_LINK15"/>
      <w:bookmarkStart w:id="6" w:name="OLE_LINK14"/>
      <w:r>
        <w:rPr>
          <w:rFonts w:hint="eastAsia" w:ascii="宋体" w:hAnsi="宋体"/>
          <w:color w:val="000000"/>
        </w:rPr>
        <w:t>手术床床板由头板、背板、臀板及可分开式腿板等五部分组成。头板可拆卸；腿板可拆卸、可分叉，采用进口气弹簧组件，可在+20°/-90°范围内任意上下折</w:t>
      </w:r>
      <w:bookmarkStart w:id="7" w:name="OLE_LINK9"/>
      <w:bookmarkStart w:id="8" w:name="OLE_LINK8"/>
      <w:r>
        <w:rPr>
          <w:rFonts w:hint="eastAsia" w:ascii="宋体" w:hAnsi="宋体"/>
          <w:color w:val="000000"/>
        </w:rPr>
        <w:t>；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  <w:szCs w:val="21"/>
        </w:rPr>
        <w:t>手术床</w:t>
      </w:r>
      <w:r>
        <w:rPr>
          <w:rFonts w:hint="eastAsia" w:ascii="宋体" w:hAnsi="宋体"/>
          <w:color w:val="000000"/>
        </w:rPr>
        <w:t>头板和腿板可前后互换</w:t>
      </w:r>
      <w:bookmarkEnd w:id="7"/>
      <w:bookmarkEnd w:id="8"/>
      <w:bookmarkStart w:id="9" w:name="OLE_LINK6"/>
      <w:bookmarkStart w:id="10" w:name="OLE_LINK7"/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有效增加台面下方</w:t>
      </w:r>
      <w:r>
        <w:rPr>
          <w:rFonts w:hint="eastAsia" w:ascii="宋体" w:hAnsi="宋体"/>
          <w:color w:val="000000"/>
        </w:rPr>
        <w:t>C型</w:t>
      </w:r>
      <w:r>
        <w:rPr>
          <w:rFonts w:ascii="宋体" w:hAnsi="宋体"/>
          <w:color w:val="000000"/>
        </w:rPr>
        <w:t>臂</w:t>
      </w:r>
      <w:r>
        <w:rPr>
          <w:rFonts w:hint="eastAsia" w:ascii="宋体" w:hAnsi="宋体"/>
          <w:color w:val="000000"/>
        </w:rPr>
        <w:t>拍片</w:t>
      </w:r>
      <w:r>
        <w:rPr>
          <w:rFonts w:ascii="宋体" w:hAnsi="宋体"/>
          <w:color w:val="000000"/>
        </w:rPr>
        <w:t>空间</w:t>
      </w:r>
      <w:r>
        <w:rPr>
          <w:rFonts w:hint="eastAsia" w:ascii="宋体" w:hAnsi="宋体"/>
          <w:color w:val="000000"/>
        </w:rPr>
        <w:t>。</w:t>
      </w:r>
      <w:bookmarkEnd w:id="5"/>
      <w:bookmarkEnd w:id="6"/>
      <w:bookmarkEnd w:id="9"/>
      <w:bookmarkEnd w:id="10"/>
      <w:r>
        <w:rPr>
          <w:rFonts w:hint="eastAsia" w:ascii="宋体" w:hAnsi="宋体"/>
          <w:color w:val="000000"/>
        </w:rPr>
        <w:t>独立电动液压控制刹车，同时具备轮脚锁定/解锁功能，能够轻松将手术床固定或移动，确保手术床稳定性。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</w:rPr>
        <w:t>具有一键屈曲、反屈曲体位功能。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</w:rPr>
        <w:t>具有一键复位功能。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★配平移功能，平移距离不低于3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0mm，</w:t>
      </w:r>
      <w:r>
        <w:rPr>
          <w:rFonts w:hint="eastAsia" w:ascii="宋体" w:hAnsi="宋体"/>
          <w:color w:val="000000"/>
          <w:szCs w:val="21"/>
        </w:rPr>
        <w:t>且平移功能由独立的液压缸驱动动作。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配骨科牵引架（含推车）</w:t>
      </w:r>
    </w:p>
    <w:p>
      <w:pPr>
        <w:spacing w:line="276" w:lineRule="auto"/>
        <w:jc w:val="left"/>
        <w:rPr>
          <w:rFonts w:ascii="宋体" w:hAnsi="宋体"/>
          <w:color w:val="000000"/>
        </w:rPr>
      </w:pP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技术参数：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手术床长度≥2060 </w:t>
      </w:r>
      <w:r>
        <w:rPr>
          <w:rFonts w:ascii="宋体" w:hAnsi="宋体"/>
          <w:color w:val="000000"/>
        </w:rPr>
        <w:t>mm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手术床宽度≥520 mm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color w:val="000000"/>
        </w:rPr>
        <w:t>床面高度可调范围：</w:t>
      </w:r>
      <w:r>
        <w:rPr>
          <w:rFonts w:hint="eastAsia" w:ascii="宋体" w:hAnsi="宋体"/>
          <w:bCs/>
          <w:color w:val="000000"/>
        </w:rPr>
        <w:t xml:space="preserve">600 </w:t>
      </w:r>
      <w:r>
        <w:rPr>
          <w:rFonts w:ascii="宋体" w:hAnsi="宋体"/>
          <w:bCs/>
          <w:color w:val="000000"/>
        </w:rPr>
        <w:t xml:space="preserve">mm </w:t>
      </w:r>
      <w:r>
        <w:rPr>
          <w:rFonts w:hint="eastAsia" w:ascii="宋体" w:hAnsi="宋体"/>
          <w:bCs/>
          <w:color w:val="000000"/>
        </w:rPr>
        <w:t>/</w:t>
      </w:r>
      <w:r>
        <w:rPr>
          <w:rFonts w:ascii="宋体" w:hAnsi="宋体"/>
          <w:bCs/>
          <w:color w:val="000000"/>
        </w:rPr>
        <w:t xml:space="preserve">950 </w:t>
      </w:r>
      <w:r>
        <w:rPr>
          <w:rFonts w:hint="eastAsia" w:ascii="宋体" w:hAnsi="宋体"/>
          <w:bCs/>
          <w:color w:val="000000"/>
        </w:rPr>
        <w:t>mm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台面前后倾角度：±25°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台面左右倾角度：±20°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背板折转角度：+80°</w:t>
      </w:r>
      <w:bookmarkStart w:id="11" w:name="OLE_LINK11"/>
      <w:bookmarkStart w:id="12" w:name="OLE_LINK10"/>
      <w:r>
        <w:rPr>
          <w:rFonts w:hint="eastAsia" w:ascii="宋体" w:hAnsi="宋体"/>
          <w:color w:val="000000"/>
        </w:rPr>
        <w:t>/</w:t>
      </w:r>
      <w:bookmarkEnd w:id="11"/>
      <w:bookmarkEnd w:id="12"/>
      <w:r>
        <w:rPr>
          <w:rFonts w:hint="eastAsia" w:ascii="宋体" w:hAnsi="宋体"/>
          <w:color w:val="000000"/>
        </w:rPr>
        <w:t>-40°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腿板折转角度：+20°/-90°，外折角度≥90°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头板折转角度：+45°/-90°</w:t>
      </w:r>
    </w:p>
    <w:p>
      <w:pPr>
        <w:spacing w:line="276" w:lineRule="auto"/>
        <w:ind w:left="420"/>
        <w:jc w:val="left"/>
        <w:rPr>
          <w:rFonts w:ascii="宋体" w:hAnsi="宋体"/>
          <w:color w:val="000000"/>
        </w:rPr>
      </w:pP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基本配置：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电动手术床主床, 配记忆</w:t>
      </w:r>
      <w:r>
        <w:rPr>
          <w:rFonts w:ascii="宋体" w:hAnsi="宋体"/>
          <w:color w:val="000000"/>
          <w:szCs w:val="20"/>
        </w:rPr>
        <w:t>海绵</w:t>
      </w:r>
      <w:r>
        <w:rPr>
          <w:rFonts w:hint="eastAsia" w:ascii="宋体" w:hAnsi="宋体"/>
          <w:color w:val="000000"/>
          <w:szCs w:val="20"/>
        </w:rPr>
        <w:t>床垫，1套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头板1块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分体式腿板1对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背板1块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臀板1块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台柱应急控制面板，有线遥控器，1套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托手架1对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麻醉屏架1套</w:t>
      </w:r>
    </w:p>
    <w:p>
      <w:pPr>
        <w:pStyle w:val="5"/>
        <w:spacing w:line="276" w:lineRule="auto"/>
        <w:ind w:left="420" w:firstLine="0" w:firstLineChars="0"/>
        <w:jc w:val="left"/>
        <w:rPr>
          <w:rFonts w:ascii="宋体" w:hAnsi="宋体"/>
          <w:color w:val="000000"/>
          <w:szCs w:val="20"/>
        </w:rPr>
      </w:pPr>
      <w:r>
        <w:rPr>
          <w:rFonts w:hint="eastAsia" w:ascii="宋体" w:hAnsi="宋体"/>
          <w:color w:val="000000"/>
          <w:szCs w:val="20"/>
        </w:rPr>
        <w:t>骨科</w:t>
      </w:r>
      <w:r>
        <w:rPr>
          <w:rFonts w:ascii="宋体" w:hAnsi="宋体"/>
          <w:color w:val="000000"/>
          <w:szCs w:val="20"/>
        </w:rPr>
        <w:t>牵引架</w:t>
      </w:r>
      <w:r>
        <w:rPr>
          <w:rFonts w:hint="eastAsia" w:ascii="宋体" w:hAnsi="宋体"/>
          <w:color w:val="000000"/>
          <w:szCs w:val="20"/>
        </w:rPr>
        <w:t>1</w:t>
      </w:r>
      <w:r>
        <w:rPr>
          <w:rFonts w:ascii="宋体" w:hAnsi="宋体"/>
          <w:color w:val="000000"/>
          <w:szCs w:val="20"/>
        </w:rPr>
        <w:t>套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乳房活检与旋切系统技术参数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一．主要功能及配置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1.按键式显示屏：屏幕可通过按键直接操作主机。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2.穿刺及取样方式：单人操作，单次穿刺，连续取样，并直接将样品收集在集样盒内，不需专人夹取。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3.真空、取样要求：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3.1真空强度和持续不间断负压抽吸：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实际17-29inHg，</w:t>
      </w:r>
      <w:r>
        <w:rPr>
          <w:rFonts w:hint="eastAsia" w:asciiTheme="majorEastAsia" w:hAnsiTheme="majorEastAsia" w:eastAsiaTheme="majorEastAsia"/>
          <w:sz w:val="24"/>
          <w:szCs w:val="24"/>
        </w:rPr>
        <w:t>取样时确保刀槽处保持持续的真空负压抽吸。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3.2单独真空抽吸功能：术腔内有积液时可进行单独的真空抽吸，保证术野清晰。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★4.集样盒：具有术中全自动封闭式收集样本的集样盒，且可随时打开集样盒观察样本质量，避免样本污染，避免人工单独取样，节省人力资源成本。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5.活检取样针要求：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5.1三凹面设计：</w:t>
      </w:r>
      <w:r>
        <w:rPr>
          <w:rFonts w:hint="eastAsia" w:cs="Calibri" w:asciiTheme="majorEastAsia" w:hAnsiTheme="majorEastAsia" w:eastAsiaTheme="majorEastAsia"/>
          <w:sz w:val="24"/>
          <w:szCs w:val="24"/>
        </w:rPr>
        <w:t>穿刺针针尖为</w:t>
      </w:r>
      <w:r>
        <w:rPr>
          <w:rFonts w:hint="eastAsia" w:asciiTheme="majorEastAsia" w:hAnsiTheme="majorEastAsia" w:eastAsiaTheme="majorEastAsia"/>
          <w:sz w:val="24"/>
          <w:szCs w:val="24"/>
        </w:rPr>
        <w:t>三凹面刀尖设计，以保证穿透致密组织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5.2一体化封闭式真空负压抽吸和样品传输通道，确保同一规格活检取样针的通道内腔更大，并保持持续高负压抽吸传送至集样盒，避免传统的双通道产生的负压方向不同而导致通道堵塞，且全封闭装置可避免肿瘤细胞针道转移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★5.3规格：活检取样针的规格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必须具有7G大小，</w:t>
      </w:r>
      <w:r>
        <w:rPr>
          <w:rFonts w:hint="eastAsia" w:asciiTheme="majorEastAsia" w:hAnsiTheme="majorEastAsia" w:eastAsiaTheme="majorEastAsia"/>
          <w:sz w:val="24"/>
          <w:szCs w:val="24"/>
        </w:rPr>
        <w:t>其他具有多规格可选。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★5.4驱动</w:t>
      </w:r>
      <w:r>
        <w:rPr>
          <w:rFonts w:hint="eastAsia" w:cs="Calibri" w:asciiTheme="majorEastAsia" w:hAnsiTheme="majorEastAsia" w:eastAsiaTheme="majorEastAsia"/>
          <w:sz w:val="24"/>
          <w:szCs w:val="24"/>
        </w:rPr>
        <w:t>手柄配有</w:t>
      </w:r>
      <w:r>
        <w:rPr>
          <w:rFonts w:hint="eastAsia" w:asciiTheme="majorEastAsia" w:hAnsiTheme="majorEastAsia" w:eastAsiaTheme="majorEastAsia"/>
          <w:sz w:val="24"/>
          <w:szCs w:val="24"/>
        </w:rPr>
        <w:t>内置前灯，用来在暗室中照亮穿刺区域。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★5.5扇形剪切模式，利用剪切力确保彻底切断纤维组织，无需停止点，避免靠转速或砧板效应切割时发生刀头变钝、切割中断的现象。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5.6 驱动手柄需在超声引导定位下使用。</w:t>
      </w:r>
    </w:p>
    <w:p>
      <w:pPr>
        <w:spacing w:line="360" w:lineRule="auto"/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5.7 穿刺针可与VAB专用的乳腺标记物（Breast tissue marker）配套使用，标记物可作为活检后随访，或手术前的定位标记。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6.切割功能模式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6.1 正常组织模式和致密组织模式可选：对于钙化或质地坚硬的组织可选择致密组织模式进行切割，保证手术精细、安全。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7.术中处理要求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7.1术中如有出血，可进行单独的真空抽吸。      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8.系统控制要求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8.1手术控制方式：手柄和脚踏两种控制方式，术中可随时暂停或恢复工作。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9.设备重量约22公斤（不含手术托盘），移动更便捷，亦可外出带教。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10.音量：</w:t>
      </w:r>
      <w:r>
        <w:rPr>
          <w:rFonts w:hint="eastAsia" w:cs="Arial Unicode MS" w:asciiTheme="majorEastAsia" w:hAnsiTheme="majorEastAsia" w:eastAsiaTheme="majorEastAsia"/>
          <w:sz w:val="24"/>
          <w:szCs w:val="24"/>
        </w:rPr>
        <w:t>≤</w:t>
      </w:r>
      <w:r>
        <w:rPr>
          <w:rFonts w:hint="eastAsia" w:asciiTheme="majorEastAsia" w:hAnsiTheme="majorEastAsia" w:eastAsiaTheme="majorEastAsia"/>
          <w:sz w:val="24"/>
          <w:szCs w:val="24"/>
        </w:rPr>
        <w:t>72分贝，提高患者术中的舒适感。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2"/>
        <w:rPr>
          <w:rFonts w:asciiTheme="majorEastAsia" w:hAnsiTheme="majorEastAsia" w:eastAsiaTheme="majorEastAsia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A93"/>
    <w:multiLevelType w:val="multilevel"/>
    <w:tmpl w:val="2D4F6A9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3F"/>
    <w:rsid w:val="0027630A"/>
    <w:rsid w:val="0046233F"/>
    <w:rsid w:val="462C4F99"/>
    <w:rsid w:val="4910171E"/>
    <w:rsid w:val="6B2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宋体" w:hAnsi="宋体" w:cs="Times New Roman"/>
      <w:spacing w:val="4"/>
      <w:kern w:val="16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638</Words>
  <Characters>3642</Characters>
  <Lines>30</Lines>
  <Paragraphs>8</Paragraphs>
  <TotalTime>14</TotalTime>
  <ScaleCrop>false</ScaleCrop>
  <LinksUpToDate>false</LinksUpToDate>
  <CharactersWithSpaces>4272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2020-09-15T01:30:00Z</dcterms:created>
  <dc:creator>Administrator</dc:creator>
  <cp:lastModifiedBy>Administrator</cp:lastModifiedBy>
  <dcterms:modified xsi:type="dcterms:W3CDTF">2020-09-16T01:42:06Z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