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Arial"/>
          <w:b/>
          <w:bCs/>
          <w:sz w:val="52"/>
          <w:szCs w:val="52"/>
        </w:rPr>
      </w:pPr>
      <w:r>
        <w:rPr>
          <w:rFonts w:ascii="微软雅黑" w:hAnsi="微软雅黑" w:eastAsia="微软雅黑" w:cs="Arial"/>
          <w:b/>
          <w:bCs/>
          <w:spacing w:val="-20"/>
          <w:sz w:val="52"/>
          <w:szCs w:val="52"/>
        </w:rPr>
        <w:t>全自动凝血分析系统</w:t>
      </w:r>
      <w:r>
        <w:rPr>
          <w:rFonts w:hint="eastAsia" w:ascii="微软雅黑" w:hAnsi="微软雅黑" w:eastAsia="微软雅黑" w:cs="Arial"/>
          <w:b/>
          <w:bCs/>
          <w:spacing w:val="-20"/>
          <w:sz w:val="52"/>
          <w:szCs w:val="52"/>
          <w:lang w:val="en-US" w:eastAsia="zh-CN"/>
        </w:rPr>
        <w:t>技术</w:t>
      </w:r>
      <w:r>
        <w:rPr>
          <w:rFonts w:hint="eastAsia" w:ascii="微软雅黑" w:hAnsi="微软雅黑" w:eastAsia="微软雅黑" w:cs="Arial"/>
          <w:b/>
          <w:bCs/>
          <w:sz w:val="52"/>
          <w:szCs w:val="52"/>
        </w:rPr>
        <w:t>参数</w:t>
      </w:r>
    </w:p>
    <w:p/>
    <w:p>
      <w:pPr>
        <w:pStyle w:val="5"/>
        <w:numPr>
          <w:ilvl w:val="0"/>
          <w:numId w:val="1"/>
        </w:numPr>
        <w:ind w:firstLineChars="0"/>
        <w:rPr>
          <w:rFonts w:ascii="微软雅黑" w:hAnsi="微软雅黑" w:eastAsia="微软雅黑"/>
          <w:szCs w:val="21"/>
        </w:rPr>
      </w:pPr>
      <w:r>
        <w:rPr>
          <w:rFonts w:hint="eastAsia" w:ascii="微软雅黑" w:hAnsi="微软雅黑" w:eastAsia="微软雅黑"/>
          <w:szCs w:val="21"/>
        </w:rPr>
        <w:t>#具有自主知识产权的国产全自动凝血分析系统。(响应文件中提供国家药品监督管理局颁发的注册证，以及国家知识产权局颁发的专利证书)</w:t>
      </w:r>
    </w:p>
    <w:p>
      <w:pPr>
        <w:pStyle w:val="5"/>
        <w:numPr>
          <w:ilvl w:val="0"/>
          <w:numId w:val="1"/>
        </w:numPr>
        <w:ind w:firstLineChars="0"/>
        <w:rPr>
          <w:rFonts w:ascii="微软雅黑" w:hAnsi="微软雅黑" w:eastAsia="微软雅黑"/>
          <w:szCs w:val="21"/>
        </w:rPr>
      </w:pPr>
      <w:r>
        <w:rPr>
          <w:rFonts w:hint="eastAsia" w:ascii="微软雅黑" w:hAnsi="微软雅黑" w:eastAsia="微软雅黑"/>
          <w:szCs w:val="21"/>
        </w:rPr>
        <w:t>#桌面式凝血分析仪，放置在实验台上即可使用，不占用实验室空间。</w:t>
      </w:r>
    </w:p>
    <w:p>
      <w:pPr>
        <w:pStyle w:val="5"/>
        <w:numPr>
          <w:ilvl w:val="0"/>
          <w:numId w:val="1"/>
        </w:numPr>
        <w:spacing w:line="460" w:lineRule="exact"/>
        <w:ind w:firstLineChars="0"/>
        <w:rPr>
          <w:rFonts w:ascii="微软雅黑" w:hAnsi="微软雅黑" w:eastAsia="微软雅黑"/>
          <w:szCs w:val="21"/>
        </w:rPr>
      </w:pPr>
      <w:r>
        <w:rPr>
          <w:rFonts w:hint="eastAsia" w:ascii="微软雅黑" w:hAnsi="微软雅黑" w:eastAsia="微软雅黑"/>
          <w:szCs w:val="21"/>
        </w:rPr>
        <w:t>PT≥410测试/小时，凝血四项(APTT、PT、TT、FIB)≥224测试小时，凝血五项(APTT、PT、TT、FIB、D-Dimer)≥200测试/小时。</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cs="Segoe UI Symbol"/>
          <w:szCs w:val="21"/>
          <w:shd w:val="clear" w:color="auto" w:fill="FFFFFF"/>
        </w:rPr>
        <w:t>▲同时具有光学凝固法、双磁路磁珠法、发色底物法、免疫比浊法四种分析方法，凝固法可同时采用光学法和双磁路磁珠法进行检测，并实现对特殊样本进行智能自动切换的检测功能。</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szCs w:val="21"/>
        </w:rPr>
        <w:t>#光学凝固法检测通道≥1个，双磁路磁珠检测通道≥1个。</w:t>
      </w:r>
    </w:p>
    <w:p>
      <w:pPr>
        <w:pStyle w:val="5"/>
        <w:numPr>
          <w:ilvl w:val="0"/>
          <w:numId w:val="1"/>
        </w:numPr>
        <w:ind w:firstLineChars="0"/>
        <w:rPr>
          <w:rFonts w:ascii="微软雅黑" w:hAnsi="微软雅黑" w:eastAsia="微软雅黑" w:cs="Segoe UI Symbol"/>
          <w:szCs w:val="21"/>
          <w:shd w:val="clear" w:color="auto" w:fill="FFFFFF"/>
        </w:rPr>
      </w:pPr>
      <w:r>
        <w:rPr>
          <w:rFonts w:hint="eastAsia" w:ascii="微软雅黑" w:hAnsi="微软雅黑" w:eastAsia="微软雅黑" w:cs="Segoe UI Symbol"/>
          <w:szCs w:val="21"/>
          <w:shd w:val="clear" w:color="auto" w:fill="FFFFFF"/>
        </w:rPr>
        <w:t>#具有溶血(H)、黄疸(I)、脂血(L)样本监测功能：能在分析中智能监测样本状态，并实现自动由光学凝固法切换为双磁路磁珠法进行检测，有效避免溶血、黄疸、脂血对检测结果的干扰。</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cs="Segoe UI Symbol"/>
          <w:szCs w:val="21"/>
          <w:shd w:val="clear" w:color="auto" w:fill="FFFFFF"/>
        </w:rPr>
        <w:t>▲测量重复性需同时达到：光学凝固法中，PT≤0.5%，TT≤1.5%；磁珠凝固法中，PT≤1.0%，TT≤1.0%(响应文件中提供第三方检测报告或产品彩页或说明书的扫描件或影印件)。</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szCs w:val="21"/>
        </w:rPr>
        <w:t>任意样本位可随时插入急诊样本，做到急诊不限位，优先处理无需等待。</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szCs w:val="21"/>
        </w:rPr>
        <w:t>采用原始管直接上机，并支持微量杯装载进样，条码扫描仪自动识别样本信息，样品位≥79个，且可在测试中随时追加样本，提高样本处理能力。</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试剂位≥38个，其中冷藏位≥34个，常温位≥4个。</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试剂针≥1根，样本针≥1根；仪器具备液面探测、防撞探测、抓杯探测、废杯满探测、故障报警等功能。</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szCs w:val="21"/>
        </w:rPr>
        <w:t>试剂信息自动扫描录入，报警、容量提示功能，并支持试剂台账管理功能。</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szCs w:val="21"/>
        </w:rPr>
        <w:t>自动稀释、自动再检功能，仪器可根据设置自动进行的稀释重测或浓缩重测。</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szCs w:val="21"/>
        </w:rPr>
        <w:t>仪器自动稀释建立校准曲线，每个分析项目可保存多条校准曲线。</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szCs w:val="21"/>
        </w:rPr>
        <w:t>#反应杯单个独立，非磁珠法血凝仪转盘式反应杯组合形式，非传统光学法血凝仪多联杯组合形式，可自动连续排列，支持不停机加杯。</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szCs w:val="21"/>
        </w:rPr>
        <w:t>▲全液体原装试剂，D-Dimer在0.25-12.5 µg/mL FEU范围内，FDP在2.5-120µg/mL范围内，AT在10-150%范围内，三者的线性相关系数(R)均应≥0.980；FIB、D-Dimer、FDP、AT试剂应随盒配备校准品 ；FIB与AT项目明确溯源至WHO认定的国际参考体系。</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szCs w:val="21"/>
        </w:rPr>
        <w:t>采用LED检测光源。</w:t>
      </w:r>
    </w:p>
    <w:p>
      <w:pPr>
        <w:pStyle w:val="5"/>
        <w:numPr>
          <w:ilvl w:val="0"/>
          <w:numId w:val="1"/>
        </w:numPr>
        <w:ind w:firstLineChars="0"/>
        <w:rPr>
          <w:rFonts w:ascii="微软雅黑" w:hAnsi="微软雅黑" w:eastAsia="微软雅黑"/>
          <w:szCs w:val="21"/>
        </w:rPr>
      </w:pPr>
      <w:r>
        <w:rPr>
          <w:rFonts w:hint="eastAsia" w:ascii="微软雅黑" w:hAnsi="微软雅黑" w:eastAsia="微软雅黑"/>
          <w:szCs w:val="21"/>
        </w:rPr>
        <w:t>采用抓手模块对反应杯进行抓取、转运；采用非接触式漩涡混匀，无交叉污染。</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szCs w:val="21"/>
        </w:rPr>
        <w:t>可显示、存储、查询、打印质控图，支持多规则质控方法监测；</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cs="Segoe UI Symbol"/>
          <w:szCs w:val="21"/>
          <w:shd w:val="clear" w:color="auto" w:fill="FFFFFF"/>
        </w:rPr>
        <w:t>▲全中文操作系统，仪器标配彩色触摸显示屏一体机 。</w:t>
      </w:r>
    </w:p>
    <w:p>
      <w:pPr>
        <w:pStyle w:val="5"/>
        <w:numPr>
          <w:ilvl w:val="0"/>
          <w:numId w:val="1"/>
        </w:numPr>
        <w:ind w:firstLineChars="0"/>
        <w:rPr>
          <w:rFonts w:ascii="微软雅黑" w:hAnsi="微软雅黑" w:eastAsia="微软雅黑"/>
          <w:szCs w:val="21"/>
        </w:rPr>
      </w:pPr>
      <w:r>
        <w:rPr>
          <w:rFonts w:hint="eastAsia" w:ascii="微软雅黑" w:hAnsi="微软雅黑" w:eastAsia="微软雅黑"/>
          <w:szCs w:val="21"/>
        </w:rPr>
        <w:t>仪器可存储并查看维护记录；具有网口、USB端口等接口，支持LIS/HIS双向通讯。</w:t>
      </w:r>
    </w:p>
    <w:p>
      <w:pPr>
        <w:pStyle w:val="5"/>
        <w:numPr>
          <w:ilvl w:val="0"/>
          <w:numId w:val="1"/>
        </w:numPr>
        <w:spacing w:line="360" w:lineRule="auto"/>
        <w:ind w:firstLineChars="0"/>
        <w:rPr>
          <w:rFonts w:ascii="微软雅黑" w:hAnsi="微软雅黑" w:eastAsia="微软雅黑"/>
          <w:szCs w:val="21"/>
        </w:rPr>
      </w:pPr>
      <w:r>
        <w:rPr>
          <w:rFonts w:hint="eastAsia" w:ascii="微软雅黑" w:hAnsi="微软雅黑" w:eastAsia="微软雅黑"/>
          <w:szCs w:val="21"/>
        </w:rPr>
        <w:t>生产企业同时通过ISO 9001:2015及ISO 13485:2016质量管理认证，仪器及原厂配套试剂，需具备NMPA及CE认证。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15"/>
          <w:kern w:val="0"/>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iCs w:val="0"/>
          <w:caps w:val="0"/>
          <w:color w:val="333333"/>
          <w:spacing w:val="15"/>
          <w:kern w:val="0"/>
          <w:sz w:val="28"/>
          <w:szCs w:val="28"/>
          <w:shd w:val="clear" w:fill="FFFFFF"/>
        </w:rPr>
      </w:pPr>
      <w:r>
        <w:rPr>
          <w:rFonts w:hint="eastAsia" w:ascii="宋体" w:hAnsi="宋体" w:eastAsia="宋体" w:cs="宋体"/>
          <w:i w:val="0"/>
          <w:iCs w:val="0"/>
          <w:caps w:val="0"/>
          <w:color w:val="333333"/>
          <w:spacing w:val="15"/>
          <w:kern w:val="0"/>
          <w:sz w:val="28"/>
          <w:szCs w:val="28"/>
          <w:shd w:val="clear" w:fill="FFFFFF"/>
          <w:lang w:val="en-US" w:eastAsia="zh-CN" w:bidi="ar"/>
        </w:rPr>
        <w:t xml:space="preserve"> </w:t>
      </w:r>
      <w:bookmarkStart w:id="0" w:name="bookmark2"/>
      <w:bookmarkEnd w:id="0"/>
      <w:r>
        <w:rPr>
          <w:rFonts w:hint="eastAsia" w:ascii="宋体" w:hAnsi="宋体" w:eastAsia="宋体" w:cs="宋体"/>
          <w:i w:val="0"/>
          <w:iCs w:val="0"/>
          <w:caps w:val="0"/>
          <w:color w:val="333333"/>
          <w:spacing w:val="15"/>
          <w:kern w:val="0"/>
          <w:sz w:val="28"/>
          <w:szCs w:val="28"/>
          <w:shd w:val="clear" w:fill="FFFFFF"/>
          <w:lang w:val="en-US" w:eastAsia="zh-CN" w:bidi="ar"/>
        </w:rPr>
        <w:t xml:space="preserve">                         </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00AA2"/>
    <w:multiLevelType w:val="multilevel"/>
    <w:tmpl w:val="20D00A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0E043E66"/>
    <w:rsid w:val="63A41B02"/>
    <w:rsid w:val="7A4D6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2023-12-23T10:00:00Z</dcterms:created>
  <dc:creator>Administrator</dc:creator>
  <cp:lastModifiedBy>Joker</cp:lastModifiedBy>
  <dcterms:modified xsi:type="dcterms:W3CDTF">2024-01-09T06:35:49Z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25CCC758D92F4F6EB896244BD04D4588_12</vt:lpwstr>
  </property>
</Properties>
</file>