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微软雅黑" w:hAnsi="微软雅黑" w:eastAsia="微软雅黑"/>
          <w:szCs w:val="21"/>
        </w:rPr>
      </w:pPr>
    </w:p>
    <w:p>
      <w:pPr>
        <w:jc w:val="center"/>
        <w:rPr>
          <w:rFonts w:hint="default" w:ascii="宋体" w:hAnsi="宋体" w:eastAsiaTheme="minorEastAsia"/>
          <w:b w:val="0"/>
          <w:bCs w:val="0"/>
          <w:sz w:val="36"/>
          <w:szCs w:val="36"/>
          <w:lang w:val="en-US" w:eastAsia="zh-CN"/>
        </w:rPr>
      </w:pPr>
      <w:r>
        <w:rPr>
          <w:rFonts w:hint="eastAsia" w:ascii="宋体" w:hAnsi="宋体"/>
          <w:b w:val="0"/>
          <w:bCs w:val="0"/>
          <w:sz w:val="36"/>
          <w:szCs w:val="36"/>
          <w:lang w:val="en-US" w:eastAsia="zh-CN"/>
        </w:rPr>
        <w:t xml:space="preserve">   原子吸收光谱仪招标参数</w:t>
      </w:r>
    </w:p>
    <w:tbl>
      <w:tblPr>
        <w:tblStyle w:val="3"/>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shd w:val="pct10" w:color="auto" w:fill="FFFFFF"/>
              </w:rPr>
            </w:pPr>
            <w:r>
              <w:rPr>
                <w:rFonts w:hint="eastAsia" w:ascii="宋体" w:hAnsi="宋体" w:eastAsia="宋体" w:cs="宋体"/>
                <w:b/>
                <w:bCs/>
                <w:sz w:val="24"/>
                <w:szCs w:val="24"/>
              </w:rPr>
              <w:t>*产品资质：</w:t>
            </w:r>
            <w:r>
              <w:rPr>
                <w:rFonts w:hint="eastAsia" w:ascii="宋体" w:hAnsi="宋体" w:eastAsia="宋体" w:cs="宋体"/>
                <w:sz w:val="24"/>
                <w:szCs w:val="24"/>
              </w:rPr>
              <w:t>全系列产品均已取得国家药监局和国家技术监督局的（准）字认证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*分析方法：</w:t>
            </w:r>
            <w:r>
              <w:rPr>
                <w:rFonts w:hint="eastAsia" w:ascii="宋体" w:hAnsi="宋体" w:eastAsia="宋体" w:cs="宋体"/>
                <w:sz w:val="24"/>
                <w:szCs w:val="24"/>
              </w:rPr>
              <w:t>火焰原子吸收光谱法 （国际通用的测量微量元素的金标准方法）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*通道数：</w:t>
            </w:r>
            <w:r>
              <w:rPr>
                <w:rFonts w:hint="eastAsia" w:ascii="宋体" w:hAnsi="宋体" w:eastAsia="宋体" w:cs="宋体"/>
                <w:sz w:val="24"/>
                <w:szCs w:val="24"/>
              </w:rPr>
              <w:t>五通道（国内首创多通道原子吸收技术，2-3秒钟内同时测量出五项元素的结果）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光学单色器：</w:t>
            </w:r>
            <w:r>
              <w:rPr>
                <w:rFonts w:hint="eastAsia" w:ascii="宋体" w:hAnsi="宋体" w:eastAsia="宋体" w:cs="宋体"/>
                <w:sz w:val="24"/>
                <w:szCs w:val="24"/>
              </w:rPr>
              <w:t>全息光栅单色器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*溶血量：</w:t>
            </w:r>
            <w:r>
              <w:rPr>
                <w:rFonts w:hint="eastAsia" w:ascii="宋体" w:hAnsi="宋体" w:eastAsia="宋体" w:cs="宋体"/>
                <w:sz w:val="24"/>
                <w:szCs w:val="24"/>
              </w:rPr>
              <w:t>40微升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原子化器：</w:t>
            </w:r>
            <w:r>
              <w:rPr>
                <w:rFonts w:hint="eastAsia" w:ascii="宋体" w:hAnsi="宋体" w:eastAsia="宋体" w:cs="宋体"/>
                <w:sz w:val="24"/>
                <w:szCs w:val="24"/>
              </w:rPr>
              <w:t>预混合型100mm单缝全钛燃烧器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*雾化器：</w:t>
            </w:r>
            <w:r>
              <w:rPr>
                <w:rFonts w:hint="eastAsia" w:ascii="宋体" w:hAnsi="宋体" w:eastAsia="宋体" w:cs="宋体"/>
                <w:sz w:val="24"/>
                <w:szCs w:val="24"/>
              </w:rPr>
              <w:t>高效金属雾化器（雾化效果好，易清洗，寿命长）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波长范围：</w:t>
            </w:r>
            <w:r>
              <w:rPr>
                <w:rFonts w:hint="eastAsia" w:ascii="宋体" w:hAnsi="宋体" w:eastAsia="宋体" w:cs="宋体"/>
                <w:sz w:val="24"/>
                <w:szCs w:val="24"/>
              </w:rPr>
              <w:t>190 - 650nm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光谱带宽：</w:t>
            </w:r>
            <w:r>
              <w:rPr>
                <w:rFonts w:hint="eastAsia" w:ascii="宋体" w:hAnsi="宋体" w:eastAsia="宋体" w:cs="宋体"/>
                <w:sz w:val="24"/>
                <w:szCs w:val="24"/>
              </w:rPr>
              <w:t>0.15-2.0nm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*光源：</w:t>
            </w:r>
            <w:r>
              <w:rPr>
                <w:rFonts w:hint="eastAsia" w:ascii="宋体" w:hAnsi="宋体" w:eastAsia="宋体" w:cs="宋体"/>
                <w:sz w:val="24"/>
                <w:szCs w:val="24"/>
              </w:rPr>
              <w:t>铜、锌复合元素空心阴极灯、钙元素空心阴极灯；镁、铁复合元素空心阴极灯（专利光源夹角技术，阴极灯交替打开，分别发射元素特征谱线，消除了铜、铁元素间的干扰）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吸光度：</w:t>
            </w:r>
            <w:r>
              <w:rPr>
                <w:rFonts w:hint="eastAsia" w:ascii="宋体" w:hAnsi="宋体" w:eastAsia="宋体" w:cs="宋体"/>
                <w:sz w:val="24"/>
                <w:szCs w:val="24"/>
              </w:rPr>
              <w:t>0 - 2 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*基线稳定性</w:t>
            </w:r>
            <w:r>
              <w:rPr>
                <w:rFonts w:hint="eastAsia" w:ascii="宋体" w:hAnsi="宋体" w:eastAsia="宋体" w:cs="宋体"/>
                <w:sz w:val="24"/>
                <w:szCs w:val="24"/>
              </w:rPr>
              <w:t>：每30min内各线基线稳定性不应超过0.005Abs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*仪器特征浓度：</w:t>
            </w:r>
            <w:r>
              <w:rPr>
                <w:rFonts w:hint="eastAsia" w:ascii="宋体" w:hAnsi="宋体" w:eastAsia="宋体" w:cs="宋体"/>
                <w:sz w:val="24"/>
                <w:szCs w:val="24"/>
              </w:rPr>
              <w:t>用含有铜、锌、钙、镁、铁五元素的特征浓度标准检查溶液喷样，每种元素的特征浓度应分别大于0.035mg/L/1%、0.015 mg/L/1%、0.080/L/1%、0.040/L/1%、1.05/L/1%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*精密度：</w:t>
            </w:r>
            <w:r>
              <w:rPr>
                <w:rFonts w:hint="eastAsia" w:ascii="宋体" w:hAnsi="宋体" w:eastAsia="宋体" w:cs="宋体"/>
                <w:sz w:val="24"/>
                <w:szCs w:val="24"/>
              </w:rPr>
              <w:t>对铜、锌、钙、镁、铁的精密度不大于1.0%（Abs&gt;0.1）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pacing w:val="-8"/>
                <w:sz w:val="24"/>
                <w:szCs w:val="24"/>
              </w:rPr>
              <w:t>质控品：</w:t>
            </w:r>
            <w:r>
              <w:rPr>
                <w:rFonts w:hint="eastAsia" w:ascii="宋体" w:hAnsi="宋体" w:eastAsia="宋体" w:cs="宋体"/>
                <w:spacing w:val="-8"/>
                <w:sz w:val="24"/>
                <w:szCs w:val="24"/>
              </w:rPr>
              <w:t>为国家二级标准物质（多元素混标）并且已取得医疗器械注册证，有效期12个月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pacing w:val="-10"/>
                <w:sz w:val="24"/>
                <w:szCs w:val="24"/>
              </w:rPr>
            </w:pPr>
            <w:r>
              <w:rPr>
                <w:rFonts w:hint="eastAsia" w:ascii="宋体" w:hAnsi="宋体" w:eastAsia="宋体" w:cs="宋体"/>
                <w:b/>
                <w:bCs/>
                <w:spacing w:val="-10"/>
                <w:sz w:val="24"/>
                <w:szCs w:val="24"/>
              </w:rPr>
              <w:t>*标准溶液：</w:t>
            </w:r>
            <w:r>
              <w:rPr>
                <w:rFonts w:hint="eastAsia" w:ascii="宋体" w:hAnsi="宋体" w:eastAsia="宋体" w:cs="宋体"/>
                <w:spacing w:val="-10"/>
                <w:sz w:val="24"/>
                <w:szCs w:val="24"/>
              </w:rPr>
              <w:t>为国家二级标准物质（多元素混标）并且已取得医疗器械注册证，有效期12个月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*稀释液：</w:t>
            </w:r>
            <w:r>
              <w:rPr>
                <w:rFonts w:hint="eastAsia" w:ascii="宋体" w:hAnsi="宋体" w:eastAsia="宋体" w:cs="宋体"/>
                <w:sz w:val="24"/>
                <w:szCs w:val="24"/>
              </w:rPr>
              <w:t>50人份/盒，有效期12个月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*信号测量类型：</w:t>
            </w:r>
            <w:r>
              <w:rPr>
                <w:rFonts w:hint="eastAsia" w:ascii="宋体" w:hAnsi="宋体" w:eastAsia="宋体" w:cs="宋体"/>
                <w:sz w:val="24"/>
                <w:szCs w:val="24"/>
              </w:rPr>
              <w:t>全部元素使用主灵敏线，同时测量铜、锌、钙、镁、铁五种元素含量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*检测时间：</w:t>
            </w:r>
            <w:r>
              <w:rPr>
                <w:rFonts w:hint="eastAsia" w:ascii="宋体" w:hAnsi="宋体" w:eastAsia="宋体" w:cs="宋体"/>
                <w:sz w:val="24"/>
                <w:szCs w:val="24"/>
              </w:rPr>
              <w:t>2-3秒钟内同时检测出五种元素结果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测量结果：</w:t>
            </w:r>
            <w:r>
              <w:rPr>
                <w:rFonts w:hint="eastAsia" w:ascii="宋体" w:hAnsi="宋体" w:eastAsia="宋体" w:cs="宋体"/>
                <w:sz w:val="24"/>
                <w:szCs w:val="24"/>
              </w:rPr>
              <w:t>自动计算、整理、存储并打印；符合卫生部医疗机构临床实验室管理方法的要求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*安全措施：</w:t>
            </w:r>
            <w:r>
              <w:rPr>
                <w:rFonts w:hint="eastAsia" w:ascii="宋体" w:hAnsi="宋体" w:eastAsia="宋体" w:cs="宋体"/>
                <w:sz w:val="24"/>
                <w:szCs w:val="24"/>
              </w:rPr>
              <w:t>采用三重保护装置（乙炔防回火器、电磁阀断电和空气压力不足自动切断装置、燃烧器防爆装置）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外形尺寸：</w:t>
            </w:r>
            <w:r>
              <w:rPr>
                <w:rFonts w:hint="eastAsia" w:ascii="宋体" w:hAnsi="宋体" w:eastAsia="宋体" w:cs="宋体"/>
                <w:sz w:val="24"/>
                <w:szCs w:val="24"/>
              </w:rPr>
              <w:t>655mm×435mm×250mm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净重：</w:t>
            </w:r>
            <w:r>
              <w:rPr>
                <w:rFonts w:hint="eastAsia" w:ascii="宋体" w:hAnsi="宋体" w:eastAsia="宋体" w:cs="宋体"/>
                <w:sz w:val="24"/>
                <w:szCs w:val="24"/>
              </w:rPr>
              <w:t>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供电电源：</w:t>
            </w:r>
            <w:r>
              <w:rPr>
                <w:rFonts w:hint="eastAsia" w:ascii="宋体" w:hAnsi="宋体" w:eastAsia="宋体" w:cs="宋体"/>
                <w:sz w:val="24"/>
                <w:szCs w:val="24"/>
              </w:rPr>
              <w:t>电压220V，频率50Hz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输入功率：</w:t>
            </w:r>
            <w:r>
              <w:rPr>
                <w:rFonts w:hint="eastAsia" w:ascii="宋体" w:hAnsi="宋体" w:eastAsia="宋体" w:cs="宋体"/>
                <w:sz w:val="24"/>
                <w:szCs w:val="24"/>
              </w:rPr>
              <w:t>330VA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工作条件：</w:t>
            </w:r>
            <w:r>
              <w:rPr>
                <w:rFonts w:hint="eastAsia" w:ascii="宋体" w:hAnsi="宋体" w:eastAsia="宋体" w:cs="宋体"/>
                <w:sz w:val="24"/>
                <w:szCs w:val="24"/>
              </w:rPr>
              <w:t>环境温度10℃ - 30℃；相对湿度≤70%，大气压力700hpa-1060hpa,环境无震动、腐蚀性气体和电磁场干扰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*网络连接：</w:t>
            </w:r>
            <w:r>
              <w:rPr>
                <w:rFonts w:hint="eastAsia" w:ascii="宋体" w:hAnsi="宋体" w:eastAsia="宋体" w:cs="宋体"/>
                <w:sz w:val="24"/>
                <w:szCs w:val="24"/>
              </w:rPr>
              <w:t>与LIS系统无缝连接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4" w:type="dxa"/>
            <w:noWrap w:val="0"/>
            <w:vAlign w:val="top"/>
          </w:tcPr>
          <w:p>
            <w:pPr>
              <w:spacing w:line="360" w:lineRule="exact"/>
              <w:rPr>
                <w:rFonts w:hint="eastAsia" w:ascii="宋体" w:hAnsi="宋体" w:eastAsia="宋体" w:cs="宋体"/>
                <w:sz w:val="24"/>
                <w:szCs w:val="24"/>
              </w:rPr>
            </w:pPr>
            <w:r>
              <w:rPr>
                <w:rFonts w:hint="eastAsia" w:ascii="宋体" w:hAnsi="宋体" w:eastAsia="宋体" w:cs="宋体"/>
                <w:b/>
                <w:bCs/>
                <w:sz w:val="24"/>
                <w:szCs w:val="24"/>
              </w:rPr>
              <w:t>*软件功能：</w:t>
            </w:r>
            <w:r>
              <w:rPr>
                <w:rFonts w:hint="eastAsia" w:ascii="宋体" w:hAnsi="宋体" w:eastAsia="宋体" w:cs="宋体"/>
                <w:sz w:val="24"/>
                <w:szCs w:val="24"/>
              </w:rPr>
              <w:t>具有室内质量控制，数据库完全开放，局域网双方通讯，中文界面，免费升级。</w:t>
            </w:r>
          </w:p>
        </w:tc>
      </w:tr>
    </w:tbl>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numPr>
          <w:ilvl w:val="0"/>
          <w:numId w:val="0"/>
        </w:numPr>
        <w:ind w:leftChars="0"/>
        <w:jc w:val="center"/>
        <w:rPr>
          <w:rFonts w:hint="eastAsia" w:ascii="宋体" w:hAnsi="宋体" w:eastAsia="宋体" w:cs="宋体"/>
          <w:sz w:val="24"/>
          <w:szCs w:val="24"/>
          <w:lang w:val="en-US" w:eastAsia="zh-CN"/>
        </w:rPr>
      </w:pPr>
    </w:p>
    <w:p>
      <w:pPr>
        <w:numPr>
          <w:ilvl w:val="0"/>
          <w:numId w:val="0"/>
        </w:numPr>
        <w:ind w:leftChars="0"/>
        <w:jc w:val="center"/>
        <w:rPr>
          <w:rFonts w:hint="eastAsia" w:ascii="宋体" w:hAnsi="宋体" w:eastAsia="宋体" w:cs="宋体"/>
          <w:sz w:val="24"/>
          <w:szCs w:val="24"/>
          <w:lang w:val="en-US" w:eastAsia="zh-CN"/>
        </w:rPr>
      </w:pPr>
    </w:p>
    <w:p>
      <w:pPr>
        <w:numPr>
          <w:ilvl w:val="0"/>
          <w:numId w:val="0"/>
        </w:numPr>
        <w:ind w:leftChars="0"/>
        <w:jc w:val="cente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全自动五分类血球分析仪招标参数</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仪器描述：供临床检验中作血液细胞计数、白细胞分类、血红蛋白浓度测量、C-反应蛋白及血清淀粉样蛋白A测量；仪器为血常规、CRP、SAA检测一体机。</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检测方法及原理：血液分析采用半导体激光法、鞘流电阻抗法、荧光染色法和流式细胞技术原理。</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血常规报告参数≥32个（不含直方图、散点图），散点图≥2个。单机检测速度：CBC＋DIFF≥ 80个样本/</w:t>
      </w:r>
      <w:bookmarkStart w:id="0" w:name="OLE_LINK6"/>
      <w:bookmarkStart w:id="1" w:name="OLE_LINK5"/>
      <w:r>
        <w:rPr>
          <w:rFonts w:hint="eastAsia" w:ascii="宋体" w:hAnsi="宋体" w:eastAsia="宋体" w:cs="宋体"/>
          <w:sz w:val="24"/>
          <w:szCs w:val="24"/>
        </w:rPr>
        <w:t>小时</w:t>
      </w:r>
      <w:bookmarkEnd w:id="0"/>
      <w:bookmarkEnd w:id="1"/>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末梢血进样方式及用血量：末梢血可实现自动批量进样或手动进样；末梢全血检测CD+CRP用血量≤37μl。 </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标配自动进样器，自动进样器内轨标配回退功能 </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具有全自动体液（含胸水、腹水、脑脊液和浆膜液等体液）细胞计数和对体液中的白细胞进行分类的功能。</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具有低值白细胞检测功能，如遇白细胞低值时可通过增加计数颗粒数量来保证检测结果的准确性。 </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仪器数据结果储存量≥13万条</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血液分析线性范围（静脉血）：白细胞：（0-500）</w:t>
      </w:r>
      <w:r>
        <w:rPr>
          <w:rFonts w:hint="eastAsia" w:ascii="宋体" w:hAnsi="宋体" w:eastAsia="宋体" w:cs="宋体"/>
          <w:sz w:val="24"/>
          <w:szCs w:val="24"/>
        </w:rPr>
        <w:sym w:font="Symbol" w:char="F0B4"/>
      </w:r>
      <w:r>
        <w:rPr>
          <w:rFonts w:hint="eastAsia" w:ascii="宋体" w:hAnsi="宋体" w:eastAsia="宋体" w:cs="宋体"/>
          <w:sz w:val="24"/>
          <w:szCs w:val="24"/>
        </w:rPr>
        <w:t xml:space="preserve"> 10</w:t>
      </w:r>
      <w:r>
        <w:rPr>
          <w:rFonts w:hint="eastAsia" w:ascii="宋体" w:hAnsi="宋体" w:eastAsia="宋体" w:cs="宋体"/>
          <w:sz w:val="24"/>
          <w:szCs w:val="24"/>
          <w:vertAlign w:val="superscript"/>
        </w:rPr>
        <w:t>9</w:t>
      </w:r>
      <w:r>
        <w:rPr>
          <w:rFonts w:hint="eastAsia" w:ascii="宋体" w:hAnsi="宋体" w:eastAsia="宋体" w:cs="宋体"/>
          <w:sz w:val="24"/>
          <w:szCs w:val="24"/>
        </w:rPr>
        <w:t>/L，红细胞：（0-8.6）</w:t>
      </w:r>
      <w:r>
        <w:rPr>
          <w:rFonts w:hint="eastAsia" w:ascii="宋体" w:hAnsi="宋体" w:eastAsia="宋体" w:cs="宋体"/>
          <w:sz w:val="24"/>
          <w:szCs w:val="24"/>
        </w:rPr>
        <w:sym w:font="Symbol" w:char="F0B4"/>
      </w:r>
      <w:r>
        <w:rPr>
          <w:rFonts w:hint="eastAsia" w:ascii="宋体" w:hAnsi="宋体" w:eastAsia="宋体" w:cs="宋体"/>
          <w:sz w:val="24"/>
          <w:szCs w:val="24"/>
        </w:rPr>
        <w:t xml:space="preserve"> 10</w:t>
      </w:r>
      <w:r>
        <w:rPr>
          <w:rFonts w:hint="eastAsia" w:ascii="宋体" w:hAnsi="宋体" w:eastAsia="宋体" w:cs="宋体"/>
          <w:sz w:val="24"/>
          <w:szCs w:val="24"/>
          <w:vertAlign w:val="superscript"/>
        </w:rPr>
        <w:t>12</w:t>
      </w:r>
      <w:r>
        <w:rPr>
          <w:rFonts w:hint="eastAsia" w:ascii="宋体" w:hAnsi="宋体" w:eastAsia="宋体" w:cs="宋体"/>
          <w:sz w:val="24"/>
          <w:szCs w:val="24"/>
        </w:rPr>
        <w:t>/L，血小板：（0-5000）</w:t>
      </w:r>
      <w:r>
        <w:rPr>
          <w:rFonts w:hint="eastAsia" w:ascii="宋体" w:hAnsi="宋体" w:eastAsia="宋体" w:cs="宋体"/>
          <w:sz w:val="24"/>
          <w:szCs w:val="24"/>
        </w:rPr>
        <w:sym w:font="Symbol" w:char="F0B4"/>
      </w:r>
      <w:r>
        <w:rPr>
          <w:rFonts w:hint="eastAsia" w:ascii="宋体" w:hAnsi="宋体" w:eastAsia="宋体" w:cs="宋体"/>
          <w:sz w:val="24"/>
          <w:szCs w:val="24"/>
        </w:rPr>
        <w:t xml:space="preserve"> 10</w:t>
      </w:r>
      <w:r>
        <w:rPr>
          <w:rFonts w:hint="eastAsia" w:ascii="宋体" w:hAnsi="宋体" w:eastAsia="宋体" w:cs="宋体"/>
          <w:sz w:val="24"/>
          <w:szCs w:val="24"/>
          <w:vertAlign w:val="superscript"/>
        </w:rPr>
        <w:t>9</w:t>
      </w:r>
      <w:r>
        <w:rPr>
          <w:rFonts w:hint="eastAsia" w:ascii="宋体" w:hAnsi="宋体" w:eastAsia="宋体" w:cs="宋体"/>
          <w:sz w:val="24"/>
          <w:szCs w:val="24"/>
        </w:rPr>
        <w:t>/L，血红蛋白：（0-260）g/L。</w:t>
      </w:r>
    </w:p>
    <w:p>
      <w:pPr>
        <w:pStyle w:val="5"/>
        <w:numPr>
          <w:ilvl w:val="0"/>
          <w:numId w:val="1"/>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CRP检测线性范围0.2mg/L~320mg/L</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SAA线性范围：10mg/L~300mg/L</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提供有溯源性的有证血液校准物，并有配套有证的高、中、低3个水平血液和体液质控物。同一管血液质控品可以覆盖全部报告项目进行质控，满足各等级评审及ISO对质控的要求。</w:t>
      </w:r>
    </w:p>
    <w:p>
      <w:pPr>
        <w:numPr>
          <w:ilvl w:val="0"/>
          <w:numId w:val="1"/>
        </w:num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具有低值血小板检测功能，如遇血小板低值时可通过增加计数颗粒数量来保证血小板检测精度。</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ind w:firstLine="2160" w:firstLineChars="900"/>
        <w:rPr>
          <w:rFonts w:hint="eastAsia" w:ascii="宋体" w:hAnsi="宋体" w:eastAsia="宋体" w:cs="宋体"/>
          <w:sz w:val="24"/>
          <w:szCs w:val="24"/>
          <w:lang w:val="en-US" w:eastAsia="zh-CN"/>
        </w:rPr>
      </w:pPr>
    </w:p>
    <w:p>
      <w:pPr>
        <w:ind w:firstLine="2160" w:firstLineChars="900"/>
        <w:rPr>
          <w:rFonts w:hint="eastAsia" w:ascii="宋体" w:hAnsi="宋体" w:eastAsia="宋体" w:cs="宋体"/>
          <w:sz w:val="24"/>
          <w:szCs w:val="24"/>
          <w:lang w:val="en-US" w:eastAsia="zh-CN"/>
        </w:rPr>
      </w:pPr>
    </w:p>
    <w:p>
      <w:pPr>
        <w:ind w:firstLine="2160" w:firstLineChars="900"/>
        <w:rPr>
          <w:rFonts w:hint="eastAsia" w:ascii="宋体" w:hAnsi="宋体" w:eastAsia="宋体" w:cs="宋体"/>
          <w:sz w:val="24"/>
          <w:szCs w:val="24"/>
          <w:lang w:val="en-US" w:eastAsia="zh-CN"/>
        </w:rPr>
      </w:pPr>
    </w:p>
    <w:p>
      <w:pPr>
        <w:ind w:firstLine="2160" w:firstLineChars="900"/>
        <w:rPr>
          <w:rFonts w:hint="eastAsia" w:ascii="宋体" w:hAnsi="宋体" w:eastAsia="宋体" w:cs="宋体"/>
          <w:sz w:val="24"/>
          <w:szCs w:val="24"/>
          <w:lang w:val="en-US" w:eastAsia="zh-CN"/>
        </w:rPr>
      </w:pPr>
    </w:p>
    <w:p>
      <w:pPr>
        <w:ind w:firstLine="2160" w:firstLineChars="900"/>
        <w:rPr>
          <w:rFonts w:hint="eastAsia" w:ascii="宋体" w:hAnsi="宋体" w:eastAsia="宋体" w:cs="宋体"/>
          <w:sz w:val="24"/>
          <w:szCs w:val="24"/>
          <w:lang w:val="en-US" w:eastAsia="zh-CN"/>
        </w:rPr>
      </w:pPr>
    </w:p>
    <w:p>
      <w:pPr>
        <w:ind w:firstLine="2160" w:firstLineChars="900"/>
        <w:rPr>
          <w:rFonts w:hint="eastAsia" w:ascii="宋体" w:hAnsi="宋体" w:eastAsia="宋体" w:cs="宋体"/>
          <w:sz w:val="24"/>
          <w:szCs w:val="24"/>
          <w:lang w:val="en-US" w:eastAsia="zh-CN"/>
        </w:rPr>
      </w:pPr>
    </w:p>
    <w:p>
      <w:pPr>
        <w:tabs>
          <w:tab w:val="center" w:pos="4153"/>
        </w:tabs>
        <w:ind w:firstLine="1440" w:firstLineChars="400"/>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糖化血红蛋白分析仪招标参数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测定原理：离子交换高效液相色谱法(HPLC)，</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2.资质认证：具有NMPA认证，通过NGSP、IFCC双溯源认证</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3. 上样方式：批量或连续上样，进样器≥110个，有急诊样本位</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检测范围:3%-18%</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5.样本量:全血5微升,稀释血10微升</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原始管带帽穿刺功能，具有样本试管旋转，混匀样本功能7. 测量时间：最快检测速度1.2分钟/测试</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 重复性：CV≤1.5%，携带污染率：≤3%</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9.变异血红蛋白提示功能：具有，不受常见变异血红蛋白及血红蛋白衍生物干扰，比如HbE、HbS、HbC等干扰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 校准功能：自动校准、手动校准二种方式</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 存储容量：系统可存储的最大样本数据（包括测试曲线）不小于4000个</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 质控功能：自动统计一年内质控数据，每月描绘质控图，计算平均值、标准差及变异系数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 过滤器支持次数:≥800T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14. 高压泵类型:双活塞串联式高压泵，</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15.系统压力:仪器系统压力6-12MPa</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 条形码功能:系统支持全自动扫描条形码功能，无需人工提前将条码对准中心位置</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17. 彩色显示屏：具备触摸式彩色液晶显示屏，检测结果实时显示，支持中文界面，方便在机结果查询</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18.工作环境：温度10℃-35℃，相对湿度≤80%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19.开关机程序：支持自动开关机功能，待机和休眠状态时关闭仪器电源开关完成关机，操作者无需额外地进行关机程序</w:t>
      </w:r>
    </w:p>
    <w:p>
      <w:pPr>
        <w:rPr>
          <w:rFonts w:hint="default"/>
          <w:sz w:val="32"/>
          <w:szCs w:val="32"/>
          <w:lang w:val="en-US" w:eastAsia="zh-CN"/>
        </w:rPr>
      </w:pPr>
      <w:r>
        <w:rPr>
          <w:rFonts w:hint="eastAsia" w:ascii="宋体" w:hAnsi="宋体" w:eastAsia="宋体" w:cs="宋体"/>
          <w:sz w:val="24"/>
          <w:szCs w:val="24"/>
          <w:lang w:val="en-US" w:eastAsia="zh-CN"/>
        </w:rPr>
        <w:t>20.监控报警：具有试剂剩余量提示功能、试剂量剩余量不足时发出报警。</w:t>
      </w:r>
    </w:p>
    <w:p>
      <w:pPr>
        <w:rPr>
          <w:rFonts w:hint="default"/>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15"/>
          <w:kern w:val="0"/>
          <w:sz w:val="28"/>
          <w:szCs w:val="28"/>
          <w:shd w:val="clear" w:fill="FFFFFF"/>
        </w:rPr>
      </w:pPr>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bookmarkStart w:id="2" w:name="bookmark2"/>
      <w:bookmarkEnd w:id="2"/>
      <w:r>
        <w:rPr>
          <w:rFonts w:hint="eastAsia" w:ascii="宋体" w:hAnsi="宋体" w:eastAsia="宋体" w:cs="宋体"/>
          <w:i w:val="0"/>
          <w:iCs w:val="0"/>
          <w:caps w:val="0"/>
          <w:color w:val="333333"/>
          <w:spacing w:val="15"/>
          <w:kern w:val="0"/>
          <w:sz w:val="28"/>
          <w:szCs w:val="28"/>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0560E"/>
    <w:multiLevelType w:val="multilevel"/>
    <w:tmpl w:val="7E70560E"/>
    <w:lvl w:ilvl="0" w:tentative="0">
      <w:start w:val="1"/>
      <w:numFmt w:val="decimal"/>
      <w:lvlText w:val="%1."/>
      <w:lvlJc w:val="left"/>
      <w:pPr>
        <w:tabs>
          <w:tab w:val="left" w:pos="420"/>
        </w:tabs>
        <w:ind w:left="420" w:hanging="42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WFkMTM0MmIxZTFjMjllOWUwOTQ1MTZjMTM4YjcifQ=="/>
  </w:docVars>
  <w:rsids>
    <w:rsidRoot w:val="00000000"/>
    <w:rsid w:val="0E043E66"/>
    <w:rsid w:val="3CEB7AB5"/>
    <w:rsid w:val="45475482"/>
    <w:rsid w:val="63A41B02"/>
    <w:rsid w:val="7A4D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2023-12-23T10:00:00Z</dcterms:created>
  <dc:creator>Administrator</dc:creator>
  <cp:lastModifiedBy>Joker</cp:lastModifiedBy>
  <dcterms:modified xsi:type="dcterms:W3CDTF">2024-01-17T23:59:36Z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25CCC758D92F4F6EB896244BD04D4588_12</vt:lpwstr>
  </property>
</Properties>
</file>