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980B1">
      <w:pPr>
        <w:pStyle w:val="4"/>
        <w:jc w:val="center"/>
        <w:rPr>
          <w:rFonts w:hint="eastAsia" w:ascii="宋体" w:hAnsi="宋体" w:eastAsia="宋体"/>
          <w:color w:val="auto"/>
          <w:sz w:val="36"/>
          <w:szCs w:val="36"/>
        </w:rPr>
      </w:pPr>
      <w:bookmarkStart w:id="0" w:name="_Toc31828463"/>
      <w:r>
        <w:rPr>
          <w:rFonts w:hint="eastAsia" w:ascii="宋体" w:hAnsi="宋体" w:eastAsia="宋体"/>
          <w:color w:val="auto"/>
          <w:sz w:val="36"/>
          <w:szCs w:val="36"/>
          <w:highlight w:val="white"/>
        </w:rPr>
        <w:t xml:space="preserve"> 采购项目技术、服务及其他要求</w:t>
      </w:r>
      <w:bookmarkEnd w:id="0"/>
    </w:p>
    <w:p w14:paraId="166C3A36">
      <w:pPr>
        <w:numPr>
          <w:ilvl w:val="0"/>
          <w:numId w:val="0"/>
        </w:numPr>
        <w:spacing w:line="360" w:lineRule="auto"/>
        <w:rPr>
          <w:rStyle w:val="9"/>
          <w:rFonts w:hint="eastAsia" w:ascii="宋体" w:hAnsi="宋体" w:eastAsia="宋体" w:cs="宋体"/>
          <w:b/>
          <w:bCs w:val="0"/>
          <w:color w:val="auto"/>
          <w:sz w:val="28"/>
          <w:szCs w:val="28"/>
          <w:lang w:eastAsia="zh-CN"/>
        </w:rPr>
      </w:pPr>
      <w:r>
        <w:rPr>
          <w:rStyle w:val="9"/>
          <w:rFonts w:hint="eastAsia" w:ascii="宋体" w:hAnsi="宋体" w:eastAsia="宋体" w:cs="宋体"/>
          <w:b/>
          <w:bCs w:val="0"/>
          <w:color w:val="auto"/>
          <w:sz w:val="28"/>
          <w:szCs w:val="28"/>
          <w:lang w:val="en-US" w:eastAsia="zh-CN"/>
        </w:rPr>
        <w:t>一、采购清单</w:t>
      </w:r>
    </w:p>
    <w:tbl>
      <w:tblPr>
        <w:tblStyle w:val="7"/>
        <w:tblW w:w="8963"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2748"/>
        <w:gridCol w:w="1745"/>
        <w:gridCol w:w="1569"/>
        <w:gridCol w:w="1938"/>
      </w:tblGrid>
      <w:tr w14:paraId="40E8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963" w:type="dxa"/>
            <w:noWrap w:val="0"/>
            <w:vAlign w:val="center"/>
          </w:tcPr>
          <w:p w14:paraId="0E496603">
            <w:pPr>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序号</w:t>
            </w:r>
          </w:p>
        </w:tc>
        <w:tc>
          <w:tcPr>
            <w:tcW w:w="2748" w:type="dxa"/>
            <w:noWrap w:val="0"/>
            <w:vAlign w:val="center"/>
          </w:tcPr>
          <w:p w14:paraId="38B80390">
            <w:pPr>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名称</w:t>
            </w:r>
          </w:p>
        </w:tc>
        <w:tc>
          <w:tcPr>
            <w:tcW w:w="1745" w:type="dxa"/>
            <w:noWrap w:val="0"/>
            <w:vAlign w:val="center"/>
          </w:tcPr>
          <w:p w14:paraId="438A5902">
            <w:pPr>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数量</w:t>
            </w:r>
          </w:p>
        </w:tc>
        <w:tc>
          <w:tcPr>
            <w:tcW w:w="1569" w:type="dxa"/>
            <w:noWrap w:val="0"/>
            <w:vAlign w:val="center"/>
          </w:tcPr>
          <w:p w14:paraId="03185CE8">
            <w:pPr>
              <w:jc w:val="center"/>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单位</w:t>
            </w:r>
          </w:p>
        </w:tc>
        <w:tc>
          <w:tcPr>
            <w:tcW w:w="1938" w:type="dxa"/>
            <w:noWrap w:val="0"/>
            <w:vAlign w:val="center"/>
          </w:tcPr>
          <w:p w14:paraId="35ECEE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单价最高</w:t>
            </w:r>
          </w:p>
          <w:p w14:paraId="6870E4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限价（元）</w:t>
            </w:r>
          </w:p>
        </w:tc>
      </w:tr>
      <w:tr w14:paraId="66F4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63" w:type="dxa"/>
            <w:noWrap w:val="0"/>
            <w:vAlign w:val="center"/>
          </w:tcPr>
          <w:p w14:paraId="0F93E271">
            <w:pPr>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1</w:t>
            </w:r>
          </w:p>
        </w:tc>
        <w:tc>
          <w:tcPr>
            <w:tcW w:w="2748" w:type="dxa"/>
            <w:noWrap w:val="0"/>
            <w:vAlign w:val="center"/>
          </w:tcPr>
          <w:p w14:paraId="14A069C5">
            <w:pPr>
              <w:jc w:val="center"/>
              <w:rPr>
                <w:rFonts w:hint="eastAsia" w:ascii="宋体" w:hAnsi="宋体" w:eastAsia="宋体" w:cs="宋体"/>
                <w:color w:val="auto"/>
                <w:sz w:val="28"/>
                <w:szCs w:val="28"/>
                <w:lang w:eastAsia="zh-CN"/>
              </w:rPr>
            </w:pPr>
            <w:r>
              <w:rPr>
                <w:rFonts w:hint="eastAsia" w:ascii="宋体" w:hAnsi="宋体" w:eastAsia="宋体" w:cs="宋体"/>
                <w:b/>
                <w:bCs/>
                <w:color w:val="auto"/>
                <w:sz w:val="28"/>
                <w:szCs w:val="28"/>
                <w:lang w:eastAsia="zh-CN"/>
              </w:rPr>
              <w:t>次氯酸钠（核心产品）</w:t>
            </w:r>
          </w:p>
        </w:tc>
        <w:tc>
          <w:tcPr>
            <w:tcW w:w="1745" w:type="dxa"/>
            <w:noWrap w:val="0"/>
            <w:vAlign w:val="center"/>
          </w:tcPr>
          <w:p w14:paraId="563559E0">
            <w:pPr>
              <w:jc w:val="center"/>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预估50</w:t>
            </w:r>
          </w:p>
        </w:tc>
        <w:tc>
          <w:tcPr>
            <w:tcW w:w="1569" w:type="dxa"/>
            <w:noWrap w:val="0"/>
            <w:vAlign w:val="center"/>
          </w:tcPr>
          <w:p w14:paraId="1B1BDC72">
            <w:pPr>
              <w:jc w:val="center"/>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吨</w:t>
            </w:r>
          </w:p>
        </w:tc>
        <w:tc>
          <w:tcPr>
            <w:tcW w:w="1938" w:type="dxa"/>
            <w:noWrap w:val="0"/>
            <w:vAlign w:val="center"/>
          </w:tcPr>
          <w:p w14:paraId="103AB618">
            <w:pPr>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700</w:t>
            </w:r>
            <w:r>
              <w:rPr>
                <w:rFonts w:hint="eastAsia" w:ascii="宋体" w:hAnsi="宋体" w:eastAsia="宋体" w:cs="宋体"/>
                <w:color w:val="auto"/>
                <w:sz w:val="28"/>
                <w:szCs w:val="28"/>
                <w:lang w:val="en-US" w:eastAsia="zh-CN"/>
              </w:rPr>
              <w:t>.00</w:t>
            </w:r>
          </w:p>
        </w:tc>
      </w:tr>
    </w:tbl>
    <w:p w14:paraId="5FEBD81F">
      <w:pPr>
        <w:spacing w:line="360" w:lineRule="auto"/>
        <w:rPr>
          <w:rStyle w:val="9"/>
          <w:rFonts w:hint="eastAsia" w:ascii="宋体" w:hAnsi="宋体" w:eastAsia="宋体" w:cs="宋体"/>
          <w:b/>
          <w:bCs w:val="0"/>
          <w:color w:val="auto"/>
          <w:sz w:val="28"/>
          <w:szCs w:val="28"/>
        </w:rPr>
      </w:pPr>
      <w:r>
        <w:rPr>
          <w:rStyle w:val="9"/>
          <w:rFonts w:hint="eastAsia" w:ascii="宋体" w:hAnsi="宋体" w:eastAsia="宋体" w:cs="宋体"/>
          <w:b/>
          <w:bCs w:val="0"/>
          <w:color w:val="auto"/>
          <w:sz w:val="28"/>
          <w:szCs w:val="28"/>
          <w:lang w:val="en-US" w:eastAsia="zh-CN"/>
        </w:rPr>
        <w:t>二</w:t>
      </w:r>
      <w:r>
        <w:rPr>
          <w:rStyle w:val="9"/>
          <w:rFonts w:hint="eastAsia" w:ascii="宋体" w:hAnsi="宋体" w:eastAsia="宋体" w:cs="宋体"/>
          <w:b/>
          <w:bCs w:val="0"/>
          <w:color w:val="auto"/>
          <w:sz w:val="28"/>
          <w:szCs w:val="28"/>
        </w:rPr>
        <w:t>、</w:t>
      </w:r>
      <w:r>
        <w:rPr>
          <w:rFonts w:hint="eastAsia" w:ascii="宋体" w:hAnsi="宋体" w:eastAsia="宋体" w:cs="Times New Roman"/>
          <w:b/>
          <w:color w:val="auto"/>
          <w:sz w:val="28"/>
          <w:szCs w:val="28"/>
          <w:lang w:val="en-US" w:eastAsia="zh-CN"/>
        </w:rPr>
        <w:t>技术参数及要求</w:t>
      </w:r>
    </w:p>
    <w:p w14:paraId="108CB8D8">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eastAsia="zh-CN"/>
        </w:rPr>
        <w:t>1.次氯酸钠消毒应符合国家强制标准（GB19106-2013-次氯酸钠AⅡ标准）。</w:t>
      </w:r>
    </w:p>
    <w:p w14:paraId="42D3CA53">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eastAsia="zh-CN"/>
        </w:rPr>
        <w:t>2.有效氯含量（以cl计）w/％≥10。</w:t>
      </w:r>
    </w:p>
    <w:p w14:paraId="79778004">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eastAsia="zh-CN"/>
        </w:rPr>
        <w:t>3.游离碱含量（以NaOH计）w/％:0.1-1.0。</w:t>
      </w:r>
    </w:p>
    <w:p w14:paraId="27127A63">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eastAsia="zh-CN"/>
        </w:rPr>
        <w:t>4.铁含量（以Fe计）w/％≤0.005。</w:t>
      </w:r>
    </w:p>
    <w:p w14:paraId="09CDBF38">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eastAsia="zh-CN"/>
        </w:rPr>
        <w:t>5.重金属（以Pb计）w/％≤0.001。</w:t>
      </w:r>
      <w:bookmarkStart w:id="1" w:name="OLE_LINK9"/>
    </w:p>
    <w:p w14:paraId="2666AE4B">
      <w:pPr>
        <w:numPr>
          <w:ilvl w:val="0"/>
          <w:numId w:val="0"/>
        </w:numPr>
        <w:spacing w:line="360" w:lineRule="auto"/>
        <w:ind w:firstLine="560" w:firstLineChars="200"/>
        <w:rPr>
          <w:rFonts w:hint="eastAsia" w:ascii="宋体" w:hAnsi="宋体" w:eastAsia="宋体" w:cs="宋体"/>
          <w:b w:val="0"/>
          <w:bCs w:val="0"/>
          <w:color w:val="auto"/>
          <w:kern w:val="0"/>
          <w:sz w:val="28"/>
          <w:szCs w:val="28"/>
          <w:lang w:eastAsia="zh-CN"/>
        </w:rPr>
      </w:pPr>
      <w:r>
        <w:rPr>
          <w:rFonts w:hint="eastAsia" w:ascii="宋体" w:hAnsi="宋体" w:eastAsia="宋体" w:cs="宋体"/>
          <w:b w:val="0"/>
          <w:bCs w:val="0"/>
          <w:color w:val="auto"/>
          <w:kern w:val="0"/>
          <w:sz w:val="28"/>
          <w:szCs w:val="28"/>
          <w:lang w:val="en-US" w:eastAsia="zh-CN"/>
        </w:rPr>
        <w:t>6</w:t>
      </w:r>
      <w:r>
        <w:rPr>
          <w:rFonts w:hint="eastAsia" w:ascii="宋体" w:hAnsi="宋体" w:eastAsia="宋体" w:cs="宋体"/>
          <w:b w:val="0"/>
          <w:bCs w:val="0"/>
          <w:color w:val="auto"/>
          <w:kern w:val="0"/>
          <w:sz w:val="28"/>
          <w:szCs w:val="28"/>
          <w:lang w:eastAsia="zh-CN"/>
        </w:rPr>
        <w:t>.</w:t>
      </w:r>
      <w:bookmarkEnd w:id="1"/>
      <w:r>
        <w:rPr>
          <w:rFonts w:hint="eastAsia" w:ascii="宋体" w:hAnsi="宋体" w:eastAsia="宋体" w:cs="宋体"/>
          <w:b w:val="0"/>
          <w:bCs w:val="0"/>
          <w:color w:val="auto"/>
          <w:kern w:val="0"/>
          <w:sz w:val="28"/>
          <w:szCs w:val="28"/>
          <w:lang w:eastAsia="zh-CN"/>
        </w:rPr>
        <w:t>砷（以AS计）w/％≤0.0001。</w:t>
      </w:r>
    </w:p>
    <w:p w14:paraId="7ADF6D88">
      <w:pPr>
        <w:numPr>
          <w:ilvl w:val="0"/>
          <w:numId w:val="0"/>
        </w:numPr>
        <w:spacing w:line="360" w:lineRule="auto"/>
        <w:ind w:firstLine="560" w:firstLineChars="200"/>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7.供应商自行运输货物的须具备有效的危险化学品运输资质证书；供应商委托第三方机构运输货物的须提供相关的委托协议，且所委托的第三方机构须具备危险化学品运输资质证书。（供应商须针对本条要求在响应文件中提供相应的资质证书复印件盖供应商鲜章，未提供或未按要求提供的视为无效投标）</w:t>
      </w:r>
    </w:p>
    <w:p w14:paraId="32D32249">
      <w:pPr>
        <w:numPr>
          <w:ilvl w:val="0"/>
          <w:numId w:val="0"/>
        </w:numPr>
        <w:spacing w:line="360" w:lineRule="auto"/>
        <w:ind w:firstLine="560" w:firstLineChars="200"/>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8.供应商须提供202</w:t>
      </w:r>
      <w:r>
        <w:rPr>
          <w:rFonts w:hint="eastAsia" w:ascii="宋体" w:hAnsi="宋体" w:cs="宋体"/>
          <w:b w:val="0"/>
          <w:bCs w:val="0"/>
          <w:color w:val="auto"/>
          <w:kern w:val="0"/>
          <w:sz w:val="28"/>
          <w:szCs w:val="28"/>
          <w:lang w:val="en-US" w:eastAsia="zh-CN"/>
        </w:rPr>
        <w:t>6</w:t>
      </w:r>
      <w:r>
        <w:rPr>
          <w:rFonts w:hint="eastAsia" w:ascii="宋体" w:hAnsi="宋体" w:eastAsia="宋体" w:cs="宋体"/>
          <w:b w:val="0"/>
          <w:bCs w:val="0"/>
          <w:color w:val="auto"/>
          <w:kern w:val="0"/>
          <w:sz w:val="28"/>
          <w:szCs w:val="28"/>
          <w:lang w:val="en-US" w:eastAsia="zh-CN"/>
        </w:rPr>
        <w:t>年</w:t>
      </w:r>
      <w:r>
        <w:rPr>
          <w:rFonts w:hint="eastAsia" w:ascii="宋体" w:hAnsi="宋体" w:cs="宋体"/>
          <w:b w:val="0"/>
          <w:bCs w:val="0"/>
          <w:color w:val="auto"/>
          <w:kern w:val="0"/>
          <w:sz w:val="28"/>
          <w:szCs w:val="28"/>
          <w:lang w:val="en-US" w:eastAsia="zh-CN"/>
        </w:rPr>
        <w:t>度</w:t>
      </w:r>
      <w:r>
        <w:rPr>
          <w:rFonts w:hint="eastAsia" w:ascii="宋体" w:hAnsi="宋体" w:eastAsia="宋体" w:cs="宋体"/>
          <w:b w:val="0"/>
          <w:bCs w:val="0"/>
          <w:color w:val="auto"/>
          <w:kern w:val="0"/>
          <w:sz w:val="28"/>
          <w:szCs w:val="28"/>
          <w:lang w:val="en-US" w:eastAsia="zh-CN"/>
        </w:rPr>
        <w:t>任意一批次次氯酸钠消毒剂的检测合格报告。（供应商须针对本条要求在响应文件中提供国家认可的第三方检测机构报告复印件盖供应商鲜章，未提供或未按要求提供的视为无效投标）</w:t>
      </w:r>
    </w:p>
    <w:p w14:paraId="787EE5BB">
      <w:pPr>
        <w:numPr>
          <w:ilvl w:val="0"/>
          <w:numId w:val="0"/>
        </w:numPr>
        <w:spacing w:line="360" w:lineRule="auto"/>
        <w:ind w:firstLine="560" w:firstLineChars="200"/>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9.供应商须提供第三方202</w:t>
      </w:r>
      <w:r>
        <w:rPr>
          <w:rFonts w:hint="eastAsia" w:ascii="宋体" w:hAnsi="宋体" w:cs="宋体"/>
          <w:b w:val="0"/>
          <w:bCs w:val="0"/>
          <w:color w:val="auto"/>
          <w:kern w:val="0"/>
          <w:sz w:val="28"/>
          <w:szCs w:val="28"/>
          <w:lang w:val="en-US" w:eastAsia="zh-CN"/>
        </w:rPr>
        <w:t>6</w:t>
      </w:r>
      <w:r>
        <w:rPr>
          <w:rFonts w:hint="eastAsia" w:ascii="宋体" w:hAnsi="宋体" w:eastAsia="宋体" w:cs="宋体"/>
          <w:b w:val="0"/>
          <w:bCs w:val="0"/>
          <w:color w:val="auto"/>
          <w:kern w:val="0"/>
          <w:sz w:val="28"/>
          <w:szCs w:val="28"/>
          <w:lang w:val="en-US" w:eastAsia="zh-CN"/>
        </w:rPr>
        <w:t>年</w:t>
      </w:r>
      <w:r>
        <w:rPr>
          <w:rFonts w:hint="eastAsia" w:ascii="宋体" w:hAnsi="宋体" w:cs="宋体"/>
          <w:b w:val="0"/>
          <w:bCs w:val="0"/>
          <w:color w:val="auto"/>
          <w:kern w:val="0"/>
          <w:sz w:val="28"/>
          <w:szCs w:val="28"/>
          <w:lang w:val="en-US" w:eastAsia="zh-CN"/>
        </w:rPr>
        <w:t>度</w:t>
      </w:r>
      <w:bookmarkStart w:id="2" w:name="_GoBack"/>
      <w:bookmarkEnd w:id="2"/>
      <w:r>
        <w:rPr>
          <w:rFonts w:hint="eastAsia" w:ascii="宋体" w:hAnsi="宋体" w:eastAsia="宋体" w:cs="宋体"/>
          <w:b w:val="0"/>
          <w:bCs w:val="0"/>
          <w:color w:val="auto"/>
          <w:kern w:val="0"/>
          <w:sz w:val="28"/>
          <w:szCs w:val="28"/>
          <w:lang w:val="en-US" w:eastAsia="zh-CN"/>
        </w:rPr>
        <w:t>任意一批次的“次氯酸钠消毒剂对卫生系统污水的消毒合格检测报告”。（供应商须针对本条要求在响应文件中提供国家认可的第三方检测机构报告复印件盖供应商鲜章，未提供或未按要求提供的视为无效投标）</w:t>
      </w:r>
    </w:p>
    <w:p w14:paraId="6E1FDA47">
      <w:pPr>
        <w:numPr>
          <w:ilvl w:val="0"/>
          <w:numId w:val="2"/>
        </w:numPr>
        <w:tabs>
          <w:tab w:val="clear" w:pos="312"/>
        </w:tabs>
        <w:spacing w:line="360" w:lineRule="auto"/>
        <w:ind w:firstLine="560" w:firstLineChars="200"/>
        <w:rPr>
          <w:rFonts w:hint="default"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供应商应对污水处理设备加药装置、管道、加药计量泵进行日常维修保养。</w:t>
      </w:r>
    </w:p>
    <w:p w14:paraId="5E67AE5D">
      <w:pPr>
        <w:numPr>
          <w:ilvl w:val="0"/>
          <w:numId w:val="0"/>
        </w:numPr>
        <w:spacing w:line="360" w:lineRule="auto"/>
        <w:ind w:firstLine="560" w:firstLineChars="200"/>
        <w:rPr>
          <w:rFonts w:hint="default"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11.供应商须自行提供储存装置等配套设施。</w:t>
      </w:r>
    </w:p>
    <w:p w14:paraId="3F3D6B73">
      <w:pPr>
        <w:spacing w:line="360" w:lineRule="auto"/>
        <w:rPr>
          <w:rStyle w:val="9"/>
          <w:rFonts w:hint="eastAsia" w:ascii="宋体" w:hAnsi="宋体" w:eastAsia="宋体" w:cs="宋体"/>
          <w:b/>
          <w:bCs/>
          <w:color w:val="auto"/>
          <w:sz w:val="28"/>
          <w:szCs w:val="28"/>
          <w:lang w:val="en-US" w:eastAsia="zh-CN"/>
        </w:rPr>
      </w:pPr>
      <w:r>
        <w:rPr>
          <w:rStyle w:val="9"/>
          <w:rFonts w:hint="eastAsia" w:ascii="宋体" w:hAnsi="宋体" w:eastAsia="宋体" w:cs="宋体"/>
          <w:b/>
          <w:bCs/>
          <w:color w:val="auto"/>
          <w:sz w:val="28"/>
          <w:szCs w:val="28"/>
          <w:lang w:val="en-US" w:eastAsia="zh-CN"/>
        </w:rPr>
        <w:t>三、商务</w:t>
      </w:r>
      <w:r>
        <w:rPr>
          <w:rFonts w:hint="eastAsia" w:ascii="宋体" w:hAnsi="宋体" w:eastAsia="宋体" w:cs="宋体"/>
          <w:b/>
          <w:bCs/>
          <w:color w:val="auto"/>
          <w:sz w:val="28"/>
          <w:szCs w:val="28"/>
        </w:rPr>
        <w:t>要求</w:t>
      </w:r>
    </w:p>
    <w:p w14:paraId="24FF3365">
      <w:pPr>
        <w:pStyle w:val="5"/>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1、服务期限：以合同签订为准。</w:t>
      </w:r>
    </w:p>
    <w:p w14:paraId="5C6301B1">
      <w:pPr>
        <w:pStyle w:val="5"/>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2、付款方式：采购人将根据实际发生量和成交单价进行据实结算。</w:t>
      </w:r>
    </w:p>
    <w:p w14:paraId="03016521">
      <w:pPr>
        <w:pStyle w:val="5"/>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3、本项目预算价为</w:t>
      </w:r>
      <w:r>
        <w:rPr>
          <w:rFonts w:hint="eastAsia" w:ascii="宋体" w:hAnsi="宋体" w:cs="宋体"/>
          <w:color w:val="auto"/>
          <w:kern w:val="2"/>
          <w:sz w:val="28"/>
          <w:szCs w:val="28"/>
          <w:lang w:val="en-US" w:eastAsia="zh-CN" w:bidi="ar-SA"/>
        </w:rPr>
        <w:t>3.5</w:t>
      </w:r>
      <w:r>
        <w:rPr>
          <w:rFonts w:hint="eastAsia" w:ascii="宋体" w:hAnsi="宋体" w:eastAsia="宋体" w:cs="宋体"/>
          <w:color w:val="auto"/>
          <w:kern w:val="2"/>
          <w:sz w:val="28"/>
          <w:szCs w:val="28"/>
          <w:lang w:val="en-US" w:eastAsia="zh-CN" w:bidi="ar-SA"/>
        </w:rPr>
        <w:t>万元，供应商的报价不得对预算金额</w:t>
      </w:r>
      <w:r>
        <w:rPr>
          <w:rFonts w:hint="eastAsia" w:ascii="宋体" w:hAnsi="宋体" w:cs="宋体"/>
          <w:color w:val="auto"/>
          <w:kern w:val="2"/>
          <w:sz w:val="28"/>
          <w:szCs w:val="28"/>
          <w:lang w:val="en-US" w:eastAsia="zh-CN" w:bidi="ar-SA"/>
        </w:rPr>
        <w:t>3.5</w:t>
      </w:r>
      <w:r>
        <w:rPr>
          <w:rFonts w:hint="eastAsia" w:ascii="宋体" w:hAnsi="宋体" w:eastAsia="宋体" w:cs="宋体"/>
          <w:color w:val="auto"/>
          <w:kern w:val="2"/>
          <w:sz w:val="28"/>
          <w:szCs w:val="28"/>
          <w:lang w:val="en-US" w:eastAsia="zh-CN" w:bidi="ar-SA"/>
        </w:rPr>
        <w:t>万元进行下浮报价，最终按实际发生量及单价据实结算。结算总额达到采购预算金额，则合同自行终止。故本项目不报总价，供应商以单价形式进行报价。</w:t>
      </w:r>
    </w:p>
    <w:p w14:paraId="42B5E997">
      <w:pPr>
        <w:spacing w:line="360" w:lineRule="auto"/>
        <w:rPr>
          <w:rFonts w:hint="eastAsia" w:ascii="宋体" w:hAnsi="宋体" w:eastAsia="宋体" w:cs="宋体"/>
          <w:b/>
          <w:bCs/>
          <w:color w:val="auto"/>
          <w:sz w:val="28"/>
          <w:szCs w:val="28"/>
        </w:rPr>
      </w:pPr>
      <w:r>
        <w:rPr>
          <w:rStyle w:val="9"/>
          <w:rFonts w:hint="eastAsia" w:ascii="宋体" w:hAnsi="宋体" w:eastAsia="宋体" w:cs="宋体"/>
          <w:b/>
          <w:bCs/>
          <w:color w:val="auto"/>
          <w:sz w:val="28"/>
          <w:szCs w:val="28"/>
          <w:lang w:val="en-US" w:eastAsia="zh-CN"/>
        </w:rPr>
        <w:t>四、</w:t>
      </w:r>
      <w:r>
        <w:rPr>
          <w:rFonts w:hint="eastAsia" w:ascii="宋体" w:hAnsi="宋体" w:eastAsia="宋体" w:cs="宋体"/>
          <w:b/>
          <w:bCs/>
          <w:color w:val="auto"/>
          <w:sz w:val="28"/>
          <w:szCs w:val="28"/>
        </w:rPr>
        <w:t>其它要求</w:t>
      </w:r>
    </w:p>
    <w:p w14:paraId="2F8503FD">
      <w:pPr>
        <w:spacing w:line="48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供应商的投标报价是履行合同的最终价格，包括但不限于履约过程中的人员工资和福利待遇、设备、材料、差旅、保险、管理、培训、税费、验收、后期服务（如有）、采购代理费、利润和采购文件规定的其它费用。如有漏项，视同已包含在其它项目，合同价不作调整，采购人除合同价格以外不再支付任何费用。</w:t>
      </w:r>
    </w:p>
    <w:p w14:paraId="5E347698">
      <w:pPr>
        <w:spacing w:line="48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供应商对自身派遣的工作人员的安全负责，若工作人员在提供服务过程中发生意外事故、工伤等导致人身财产损害，由供应商自行负责。若工作人员在工作期间违规操作造成人身、产损失，由供应商承担全部责任，釆购人对此不承担任何的责任和义务。</w:t>
      </w:r>
    </w:p>
    <w:p w14:paraId="108950AA">
      <w:pPr>
        <w:spacing w:line="48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供应商因自身投标报价估算错误等引起的风险由供应商自行承担。在履约过程中所有人员的工资、酬金、及其人身安全、发生纠纷、安全责任事故、劳动合同纠纷等均由成交供应商自行负责，情节严重的，追究相应责任，并按相关国家法律法规处理。</w:t>
      </w:r>
    </w:p>
    <w:p w14:paraId="5ADF357C">
      <w:pPr>
        <w:spacing w:line="480" w:lineRule="auto"/>
        <w:ind w:firstLine="560" w:firstLineChars="200"/>
        <w:rPr>
          <w:rFonts w:hint="eastAsia" w:ascii="宋体" w:hAnsi="宋体" w:eastAsia="宋体" w:cs="宋体"/>
          <w:color w:val="auto"/>
          <w:spacing w:val="-8"/>
          <w:sz w:val="28"/>
          <w:szCs w:val="32"/>
          <w:highlight w:val="none"/>
          <w:lang w:val="en-US" w:eastAsia="zh-CN"/>
        </w:rPr>
      </w:pPr>
      <w:r>
        <w:rPr>
          <w:rFonts w:hint="eastAsia" w:ascii="宋体" w:hAnsi="宋体" w:eastAsia="宋体" w:cs="宋体"/>
          <w:sz w:val="28"/>
          <w:szCs w:val="28"/>
          <w:vertAlign w:val="baseline"/>
          <w:lang w:val="en-US" w:eastAsia="zh-CN"/>
        </w:rPr>
        <w:t>4.</w:t>
      </w:r>
      <w:r>
        <w:rPr>
          <w:rFonts w:hint="eastAsia" w:ascii="宋体" w:hAnsi="宋体" w:eastAsia="宋体" w:cs="宋体"/>
          <w:color w:val="auto"/>
          <w:spacing w:val="-8"/>
          <w:sz w:val="28"/>
          <w:szCs w:val="32"/>
          <w:highlight w:val="none"/>
          <w:lang w:val="en-US" w:eastAsia="zh-CN"/>
        </w:rPr>
        <w:t>验收标准：成交供应商与采购人应参照财政部《财政部关于进一步加强政府采购需求和履约验收管理的指导意见》（财库〔2016〕205号）的要求进行验收。</w:t>
      </w:r>
    </w:p>
    <w:p w14:paraId="5AAAA490">
      <w:pPr>
        <w:numPr>
          <w:ilvl w:val="0"/>
          <w:numId w:val="0"/>
        </w:numPr>
        <w:ind w:firstLine="528" w:firstLineChars="200"/>
        <w:rPr>
          <w:rFonts w:hint="eastAsia" w:ascii="宋体" w:hAnsi="宋体" w:eastAsia="宋体" w:cs="宋体"/>
          <w:color w:val="auto"/>
          <w:spacing w:val="-8"/>
          <w:kern w:val="2"/>
          <w:sz w:val="28"/>
          <w:szCs w:val="32"/>
          <w:highlight w:val="none"/>
          <w:lang w:val="en-US" w:eastAsia="zh-CN" w:bidi="ar-SA"/>
        </w:rPr>
      </w:pPr>
      <w:r>
        <w:rPr>
          <w:rFonts w:hint="eastAsia" w:ascii="宋体" w:hAnsi="宋体" w:eastAsia="宋体" w:cs="宋体"/>
          <w:color w:val="auto"/>
          <w:spacing w:val="-8"/>
          <w:kern w:val="2"/>
          <w:sz w:val="28"/>
          <w:szCs w:val="32"/>
          <w:highlight w:val="none"/>
          <w:lang w:val="en-US" w:eastAsia="zh-CN" w:bidi="ar-SA"/>
        </w:rPr>
        <w:t>5.其他未尽事宜由采购人于成交供应商在合同中约定。</w:t>
      </w:r>
    </w:p>
    <w:p w14:paraId="5A561F66">
      <w:pPr>
        <w:spacing w:line="360" w:lineRule="auto"/>
        <w:rPr>
          <w:rStyle w:val="9"/>
          <w:rFonts w:hint="eastAsia" w:ascii="宋体" w:hAnsi="宋体" w:eastAsia="宋体" w:cs="宋体"/>
          <w:b/>
          <w:bCs/>
          <w:color w:val="auto"/>
          <w:sz w:val="28"/>
          <w:szCs w:val="28"/>
          <w:lang w:val="en-US" w:eastAsia="zh-CN"/>
        </w:rPr>
      </w:pPr>
      <w:r>
        <w:rPr>
          <w:rStyle w:val="9"/>
          <w:rFonts w:hint="eastAsia" w:ascii="宋体" w:hAnsi="宋体" w:eastAsia="宋体" w:cs="宋体"/>
          <w:b/>
          <w:bCs/>
          <w:color w:val="auto"/>
          <w:sz w:val="28"/>
          <w:szCs w:val="28"/>
          <w:lang w:val="en-US" w:eastAsia="zh-CN"/>
        </w:rPr>
        <w:t>五、合同确定原则</w:t>
      </w:r>
    </w:p>
    <w:p w14:paraId="0EDC12FF">
      <w:pPr>
        <w:spacing w:line="48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1、成交供应商不得进行转包。</w:t>
      </w:r>
    </w:p>
    <w:p w14:paraId="724AB856">
      <w:pPr>
        <w:spacing w:line="48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2、如成交供应商因生产能力不能履行合同的，采购单位可以与排位在成交供应商之后第一位的成交候选供应商签订采购合同，以此类推。</w:t>
      </w:r>
    </w:p>
    <w:p w14:paraId="4A1027ED">
      <w:pPr>
        <w:spacing w:line="480" w:lineRule="auto"/>
        <w:ind w:firstLine="560" w:firstLineChars="200"/>
        <w:rPr>
          <w:rFonts w:hint="eastAsia" w:ascii="宋体" w:hAnsi="宋体" w:eastAsia="宋体" w:cs="宋体"/>
          <w:color w:val="auto"/>
          <w:sz w:val="28"/>
          <w:szCs w:val="28"/>
          <w:lang w:val="en-US" w:eastAsia="zh-TW"/>
        </w:rPr>
      </w:pPr>
      <w:r>
        <w:rPr>
          <w:rFonts w:hint="eastAsia" w:ascii="宋体" w:hAnsi="宋体" w:eastAsia="宋体" w:cs="宋体"/>
          <w:color w:val="auto"/>
          <w:sz w:val="28"/>
          <w:szCs w:val="28"/>
          <w:lang w:val="en-US" w:eastAsia="zh-CN"/>
        </w:rPr>
        <w:t>注：供应商必须对采购的全部内容进行谈判，不允许拆项谈判。</w:t>
      </w:r>
    </w:p>
    <w:p w14:paraId="06E856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5DEE4D0B"/>
    <w:multiLevelType w:val="singleLevel"/>
    <w:tmpl w:val="5DEE4D0B"/>
    <w:lvl w:ilvl="0" w:tentative="0">
      <w:start w:val="10"/>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004C19"/>
    <w:rsid w:val="5BB32E55"/>
    <w:rsid w:val="68857C0D"/>
    <w:rsid w:val="6FB562F7"/>
    <w:rsid w:val="75C16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qFormat/>
    <w:uiPriority w:val="0"/>
    <w:pPr>
      <w:keepNext/>
      <w:keepLines/>
      <w:spacing w:before="260" w:beforeLines="0" w:beforeAutospacing="0" w:after="260" w:afterLines="0" w:afterAutospacing="0" w:line="500" w:lineRule="exact"/>
      <w:outlineLvl w:val="1"/>
    </w:pPr>
    <w:rPr>
      <w:rFonts w:ascii="Arial" w:hAnsi="Arial" w:eastAsia="黑体"/>
      <w:b/>
      <w:sz w:val="28"/>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99"/>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3">
    <w:name w:val="正文（绿盟科技）"/>
    <w:qFormat/>
    <w:uiPriority w:val="99"/>
    <w:pPr>
      <w:spacing w:line="300" w:lineRule="auto"/>
    </w:pPr>
    <w:rPr>
      <w:rFonts w:ascii="Arial" w:hAnsi="Arial" w:eastAsia="宋体" w:cs="Times New Roman"/>
      <w:kern w:val="0"/>
      <w:sz w:val="21"/>
      <w:szCs w:val="21"/>
      <w:lang w:val="en-US" w:eastAsia="zh-CN" w:bidi="ar-SA"/>
    </w:rPr>
  </w:style>
  <w:style w:type="paragraph" w:styleId="5">
    <w:name w:val="Body Text"/>
    <w:basedOn w:val="1"/>
    <w:next w:val="1"/>
    <w:qFormat/>
    <w:uiPriority w:val="0"/>
    <w:pPr>
      <w:spacing w:after="120" w:afterLines="0" w:afterAutospacing="0"/>
    </w:pPr>
  </w:style>
  <w:style w:type="table" w:styleId="7">
    <w:name w:val="Table Grid"/>
    <w:basedOn w:val="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1262</Words>
  <Characters>1345</Characters>
  <Lines>0</Lines>
  <Paragraphs>0</Paragraphs>
  <TotalTime>12</TotalTime>
  <ScaleCrop>false</ScaleCrop>
  <LinksUpToDate>false</LinksUpToDate>
  <CharactersWithSpaces>1346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2025-01-10T06:22:00Z</dcterms:created>
  <dc:creator>Administrator</dc:creator>
  <cp:lastModifiedBy>蝴蝶泉边</cp:lastModifiedBy>
  <dcterms:modified xsi:type="dcterms:W3CDTF">2026-09-21T03:28:26Z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eyJoZGlkIjoiNjczMDljNzJiMzQ4NGZmNjQyMDc4MjQ2ZDAyOWVhY2UiLCJ1c2VySWQiOiI3MzAzNjM5NjQifQ==</vt:lpwstr>
  </property>
  <property fmtid="{D5CDD505-2E9C-101B-9397-08002B2CF9AE}" pid="4" name="ICV">
    <vt:lpwstr>758C6E0E6560407A84C4154036A86584_12</vt:lpwstr>
  </property>
</Properties>
</file>